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714DEA14D7A4A4EA2BD29E62779E0AA" ma:contentTypeVersion="13" ma:contentTypeDescription="Crear nuevo documento." ma:contentTypeScope="" ma:versionID="5dda0301da3aaa52472f45d93d9af409">
  <xsd:schema xmlns:xsd="http://www.w3.org/2001/XMLSchema" xmlns:xs="http://www.w3.org/2001/XMLSchema" xmlns:p="http://schemas.microsoft.com/office/2006/metadata/properties" xmlns:ns2="8e12d2b0-f0c6-46a6-96d0-bd1a4d8a8c07" xmlns:ns3="eebf530b-b7e8-4678-8def-6a5d92b2b4bc" targetNamespace="http://schemas.microsoft.com/office/2006/metadata/properties" ma:root="true" ma:fieldsID="6fb1ac1bc6e78e311a66489797dc8430" ns2:_="" ns3:_="">
    <xsd:import namespace="8e12d2b0-f0c6-46a6-96d0-bd1a4d8a8c07"/>
    <xsd:import namespace="eebf530b-b7e8-4678-8def-6a5d92b2b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d2b0-f0c6-46a6-96d0-bd1a4d8a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bf530b-b7e8-4678-8def-6a5d92b2b4b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3110BAF0-3812-4DA2-9E25-4574DFA506E0}"/>
</file>

<file path=customXml/itemProps3.xml><?xml version="1.0" encoding="utf-8"?>
<ds:datastoreItem xmlns:ds="http://schemas.openxmlformats.org/officeDocument/2006/customXml" ds:itemID="{6F33E307-D13D-4EB2-85E5-781D307BF6C2}"/>
</file>

<file path=customXml/itemProps4.xml><?xml version="1.0" encoding="utf-8"?>
<ds:datastoreItem xmlns:ds="http://schemas.openxmlformats.org/officeDocument/2006/customXml" ds:itemID="{8CE2DE3A-46DF-4CDB-B122-9518938152D4}"/>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0x0101006714DEA14D7A4A4EA2BD29E62779E0AA</vt:lpwstr>
  </property>
</Properties>
</file>