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60D96" w:rsidR="00ED1D6F" w:rsidP="00ED1D6F" w:rsidRDefault="00ED1D6F" w14:paraId="669BC128" w14:textId="77777777">
      <w:pPr>
        <w:ind w:left="709"/>
        <w:jc w:val="center"/>
        <w:rPr>
          <w:rFonts w:ascii="Arial" w:hAnsi="Arial" w:cs="Arial"/>
          <w:b/>
          <w:bCs/>
        </w:rPr>
      </w:pPr>
    </w:p>
    <w:p w:rsidRPr="00860D96" w:rsidR="00ED1D6F" w:rsidP="00ED1D6F" w:rsidRDefault="00ED1D6F" w14:paraId="004DFAFE" w14:textId="77777777">
      <w:pPr>
        <w:ind w:left="709"/>
        <w:jc w:val="center"/>
        <w:rPr>
          <w:rFonts w:ascii="Arial" w:hAnsi="Arial" w:cs="Arial"/>
          <w:b/>
          <w:bCs/>
        </w:rPr>
      </w:pPr>
    </w:p>
    <w:p w:rsidRPr="00860D96" w:rsidR="00ED1D6F" w:rsidP="00ED1D6F" w:rsidRDefault="00ED1D6F" w14:paraId="4AA2A57C" w14:textId="77777777">
      <w:pPr>
        <w:ind w:left="709"/>
        <w:jc w:val="center"/>
        <w:rPr>
          <w:rFonts w:ascii="Arial" w:hAnsi="Arial" w:cs="Arial"/>
          <w:b/>
          <w:bCs/>
        </w:rPr>
      </w:pPr>
    </w:p>
    <w:p w:rsidRPr="00860D96" w:rsidR="00ED1D6F" w:rsidP="00ED1D6F" w:rsidRDefault="00ED1D6F" w14:paraId="5CB35D43" w14:textId="77777777">
      <w:pPr>
        <w:ind w:left="709"/>
        <w:jc w:val="center"/>
        <w:rPr>
          <w:rFonts w:ascii="Arial" w:hAnsi="Arial" w:cs="Arial"/>
          <w:b/>
          <w:bCs/>
        </w:rPr>
      </w:pPr>
    </w:p>
    <w:p w:rsidRPr="00860D96" w:rsidR="00ED1D6F" w:rsidP="00ED1D6F" w:rsidRDefault="00ED1D6F" w14:paraId="680DCC0C" w14:textId="77777777">
      <w:pPr>
        <w:ind w:left="709"/>
        <w:jc w:val="center"/>
        <w:rPr>
          <w:rFonts w:ascii="Arial" w:hAnsi="Arial" w:cs="Arial"/>
          <w:b/>
          <w:bCs/>
        </w:rPr>
      </w:pPr>
    </w:p>
    <w:p w:rsidRPr="00860D96" w:rsidR="00ED1D6F" w:rsidP="00ED1D6F" w:rsidRDefault="00ED1D6F" w14:paraId="7459DA19" w14:textId="77777777">
      <w:pPr>
        <w:ind w:left="709"/>
        <w:jc w:val="center"/>
        <w:rPr>
          <w:rFonts w:ascii="Arial" w:hAnsi="Arial" w:cs="Arial"/>
          <w:b/>
          <w:bCs/>
        </w:rPr>
      </w:pPr>
      <w:r w:rsidRPr="00860D96">
        <w:rPr>
          <w:rFonts w:ascii="Arial" w:hAnsi="Arial" w:cs="Arial"/>
          <w:b/>
          <w:bCs/>
        </w:rPr>
        <w:t>BANCO DE COMERCIO EXTERIOR DE COLOMBIA</w:t>
      </w:r>
    </w:p>
    <w:p w:rsidRPr="00860D96" w:rsidR="00ED1D6F" w:rsidP="00ED1D6F" w:rsidRDefault="00ED1D6F" w14:paraId="3610E6F2" w14:textId="77777777">
      <w:pPr>
        <w:ind w:left="709"/>
        <w:jc w:val="center"/>
        <w:rPr>
          <w:rFonts w:ascii="Arial" w:hAnsi="Arial" w:cs="Arial"/>
          <w:b/>
          <w:bCs/>
        </w:rPr>
      </w:pPr>
      <w:r w:rsidRPr="00860D96">
        <w:rPr>
          <w:rFonts w:ascii="Arial" w:hAnsi="Arial" w:cs="Arial"/>
          <w:b/>
          <w:bCs/>
        </w:rPr>
        <w:t>BANCÓLDEX S.A.</w:t>
      </w:r>
    </w:p>
    <w:p w:rsidRPr="00860D96" w:rsidR="00ED1D6F" w:rsidP="00ED1D6F" w:rsidRDefault="00ED1D6F" w14:paraId="4178A11D" w14:textId="77777777">
      <w:pPr>
        <w:rPr>
          <w:rFonts w:ascii="Arial" w:hAnsi="Arial" w:cs="Arial"/>
        </w:rPr>
      </w:pPr>
    </w:p>
    <w:p w:rsidRPr="00860D96" w:rsidR="00ED1D6F" w:rsidP="00ED1D6F" w:rsidRDefault="00ED1D6F" w14:paraId="4BC9AF26" w14:textId="77777777">
      <w:pPr>
        <w:rPr>
          <w:rFonts w:ascii="Arial" w:hAnsi="Arial" w:cs="Arial"/>
        </w:rPr>
      </w:pPr>
    </w:p>
    <w:p w:rsidRPr="00860D96" w:rsidR="00ED1D6F" w:rsidP="00ED1D6F" w:rsidRDefault="00ED1D6F" w14:paraId="135127F0" w14:textId="77777777">
      <w:pPr>
        <w:rPr>
          <w:rFonts w:ascii="Arial" w:hAnsi="Arial" w:cs="Arial"/>
        </w:rPr>
      </w:pPr>
    </w:p>
    <w:p w:rsidRPr="00860D96" w:rsidR="00ED1D6F" w:rsidP="00ED1D6F" w:rsidRDefault="00ED1D6F" w14:paraId="2B75E194" w14:textId="77777777">
      <w:pPr>
        <w:rPr>
          <w:rFonts w:ascii="Arial" w:hAnsi="Arial" w:cs="Arial"/>
        </w:rPr>
      </w:pPr>
    </w:p>
    <w:p w:rsidRPr="00860D96" w:rsidR="00ED1D6F" w:rsidP="00ED1D6F" w:rsidRDefault="00ED1D6F" w14:paraId="645BB7DD" w14:textId="73603E2D">
      <w:pPr>
        <w:jc w:val="center"/>
        <w:rPr>
          <w:rFonts w:ascii="Arial" w:hAnsi="Arial" w:cs="Arial"/>
          <w:b/>
          <w:bCs/>
        </w:rPr>
      </w:pPr>
      <w:r w:rsidRPr="00860D96">
        <w:rPr>
          <w:rFonts w:ascii="Arial" w:hAnsi="Arial" w:cs="Arial"/>
          <w:b/>
          <w:bCs/>
        </w:rPr>
        <w:t>Anexo técnico</w:t>
      </w:r>
      <w:r w:rsidR="00F25009">
        <w:rPr>
          <w:rFonts w:ascii="Arial" w:hAnsi="Arial" w:cs="Arial"/>
          <w:b/>
          <w:bCs/>
        </w:rPr>
        <w:t xml:space="preserve"> No. 1</w:t>
      </w:r>
    </w:p>
    <w:p w:rsidRPr="00860D96" w:rsidR="00ED1D6F" w:rsidP="00ED1D6F" w:rsidRDefault="00ED1D6F" w14:paraId="2DA995F8" w14:textId="77777777">
      <w:pPr>
        <w:jc w:val="center"/>
        <w:rPr>
          <w:rFonts w:ascii="Arial" w:hAnsi="Arial" w:cs="Arial"/>
          <w:b/>
          <w:bCs/>
        </w:rPr>
      </w:pPr>
    </w:p>
    <w:p w:rsidRPr="00860D96" w:rsidR="00ED1D6F" w:rsidP="00ED1D6F" w:rsidRDefault="00ED1D6F" w14:paraId="5DEB0829" w14:textId="77777777">
      <w:pPr>
        <w:jc w:val="center"/>
        <w:rPr>
          <w:rFonts w:ascii="Arial" w:hAnsi="Arial" w:cs="Arial"/>
          <w:b/>
          <w:bCs/>
        </w:rPr>
      </w:pPr>
      <w:r w:rsidRPr="00860D96">
        <w:rPr>
          <w:rFonts w:ascii="Arial" w:hAnsi="Arial" w:cs="Arial"/>
          <w:b/>
          <w:bCs/>
        </w:rPr>
        <w:t>Contratación de servicios de conectividad tipo MPLS e internet</w:t>
      </w:r>
    </w:p>
    <w:p w:rsidRPr="00860D96" w:rsidR="00ED1D6F" w:rsidP="00ED1D6F" w:rsidRDefault="00ED1D6F" w14:paraId="1CA4E829" w14:textId="77777777">
      <w:pPr>
        <w:rPr>
          <w:rFonts w:ascii="Arial" w:hAnsi="Arial" w:cs="Arial"/>
        </w:rPr>
      </w:pPr>
    </w:p>
    <w:p w:rsidRPr="00860D96" w:rsidR="00ED1D6F" w:rsidP="00ED1D6F" w:rsidRDefault="00ED1D6F" w14:paraId="7D6B2982" w14:textId="77777777">
      <w:pPr>
        <w:rPr>
          <w:rFonts w:ascii="Arial" w:hAnsi="Arial" w:cs="Arial"/>
        </w:rPr>
      </w:pPr>
    </w:p>
    <w:p w:rsidRPr="00860D96" w:rsidR="00ED1D6F" w:rsidP="00ED1D6F" w:rsidRDefault="00ED1D6F" w14:paraId="13245E69" w14:textId="77777777">
      <w:pPr>
        <w:rPr>
          <w:rFonts w:ascii="Arial" w:hAnsi="Arial" w:cs="Arial"/>
        </w:rPr>
      </w:pPr>
    </w:p>
    <w:p w:rsidRPr="00860D96" w:rsidR="00ED1D6F" w:rsidP="00ED1D6F" w:rsidRDefault="00ED1D6F" w14:paraId="7546911F" w14:textId="77777777">
      <w:pPr>
        <w:ind w:left="2832" w:hanging="2832"/>
        <w:jc w:val="center"/>
        <w:rPr>
          <w:rFonts w:ascii="Arial" w:hAnsi="Arial" w:cs="Arial"/>
          <w:b/>
          <w:bCs/>
        </w:rPr>
      </w:pPr>
    </w:p>
    <w:p w:rsidRPr="00860D96" w:rsidR="00ED1D6F" w:rsidP="00ED1D6F" w:rsidRDefault="00ED1D6F" w14:paraId="2F3A4E32" w14:textId="77777777">
      <w:pPr>
        <w:ind w:left="2832" w:hanging="2832"/>
        <w:jc w:val="center"/>
        <w:rPr>
          <w:rFonts w:ascii="Arial" w:hAnsi="Arial" w:cs="Arial"/>
          <w:b/>
          <w:bCs/>
        </w:rPr>
      </w:pPr>
    </w:p>
    <w:p w:rsidRPr="00860D96" w:rsidR="00ED1D6F" w:rsidP="00ED1D6F" w:rsidRDefault="00ED1D6F" w14:paraId="6AD6986C" w14:textId="77777777">
      <w:pPr>
        <w:ind w:left="2832" w:hanging="2832"/>
        <w:jc w:val="center"/>
        <w:rPr>
          <w:rFonts w:ascii="Arial" w:hAnsi="Arial" w:cs="Arial"/>
          <w:b/>
          <w:bCs/>
        </w:rPr>
      </w:pPr>
      <w:r w:rsidRPr="00860D96">
        <w:rPr>
          <w:rFonts w:ascii="Arial" w:hAnsi="Arial" w:cs="Arial"/>
          <w:b/>
          <w:bCs/>
        </w:rPr>
        <w:t>BOGOTÁ D.C.</w:t>
      </w:r>
    </w:p>
    <w:p w:rsidRPr="00860D96" w:rsidR="00ED1D6F" w:rsidP="00ED1D6F" w:rsidRDefault="00ED1D6F" w14:paraId="45A25348" w14:textId="77777777">
      <w:pPr>
        <w:ind w:left="2832" w:hanging="2832"/>
        <w:jc w:val="center"/>
        <w:rPr>
          <w:rFonts w:ascii="Arial" w:hAnsi="Arial" w:cs="Arial"/>
          <w:b/>
          <w:bCs/>
        </w:rPr>
      </w:pPr>
    </w:p>
    <w:p w:rsidRPr="00860D96" w:rsidR="00ED1D6F" w:rsidP="00ED1D6F" w:rsidRDefault="00ED1D6F" w14:paraId="7F61C84B" w14:textId="77777777">
      <w:pPr>
        <w:ind w:left="2832" w:hanging="2832"/>
        <w:jc w:val="center"/>
        <w:rPr>
          <w:rFonts w:ascii="Arial" w:hAnsi="Arial" w:cs="Arial"/>
          <w:b/>
          <w:bCs/>
        </w:rPr>
      </w:pPr>
    </w:p>
    <w:p w:rsidRPr="00860D96" w:rsidR="00ED1D6F" w:rsidP="00ED1D6F" w:rsidRDefault="00ED1D6F" w14:paraId="654DEEF6" w14:textId="77777777">
      <w:pPr>
        <w:ind w:left="2832" w:hanging="2832"/>
        <w:jc w:val="center"/>
        <w:rPr>
          <w:rFonts w:ascii="Arial" w:hAnsi="Arial" w:cs="Arial"/>
          <w:b/>
          <w:bCs/>
        </w:rPr>
      </w:pPr>
    </w:p>
    <w:p w:rsidRPr="00860D96" w:rsidR="00ED1D6F" w:rsidP="00ED1D6F" w:rsidRDefault="00ED1D6F" w14:paraId="79D54E2C" w14:textId="77777777">
      <w:pPr>
        <w:ind w:left="2832" w:hanging="2832"/>
        <w:jc w:val="center"/>
        <w:rPr>
          <w:rFonts w:ascii="Arial" w:hAnsi="Arial" w:cs="Arial"/>
          <w:b/>
          <w:bCs/>
        </w:rPr>
      </w:pPr>
    </w:p>
    <w:p w:rsidRPr="00860D96" w:rsidR="00ED1D6F" w:rsidP="00ED1D6F" w:rsidRDefault="00ED1D6F" w14:paraId="0724E307" w14:textId="77777777">
      <w:pPr>
        <w:ind w:left="2832" w:hanging="2832"/>
        <w:jc w:val="center"/>
        <w:rPr>
          <w:rFonts w:ascii="Arial" w:hAnsi="Arial" w:cs="Arial"/>
          <w:b/>
          <w:bCs/>
        </w:rPr>
      </w:pPr>
    </w:p>
    <w:p w:rsidRPr="00860D96" w:rsidR="0038138B" w:rsidP="0038138B" w:rsidRDefault="0038138B" w14:paraId="370F954A" w14:textId="6382621C">
      <w:pPr>
        <w:pStyle w:val="Default"/>
        <w:jc w:val="both"/>
        <w:rPr>
          <w:rFonts w:ascii="Arial" w:hAnsi="Arial" w:cs="Arial"/>
          <w:sz w:val="22"/>
          <w:szCs w:val="22"/>
        </w:rPr>
      </w:pPr>
    </w:p>
    <w:p w:rsidRPr="00860D96" w:rsidR="00ED1D6F" w:rsidP="0038138B" w:rsidRDefault="00ED1D6F" w14:paraId="1BFAAA96" w14:textId="7A6EEADF">
      <w:pPr>
        <w:pStyle w:val="Default"/>
        <w:jc w:val="both"/>
        <w:rPr>
          <w:rFonts w:ascii="Arial" w:hAnsi="Arial" w:cs="Arial"/>
          <w:sz w:val="22"/>
          <w:szCs w:val="22"/>
        </w:rPr>
      </w:pPr>
    </w:p>
    <w:p w:rsidRPr="00860D96" w:rsidR="00ED1D6F" w:rsidP="0038138B" w:rsidRDefault="00ED1D6F" w14:paraId="0C355790" w14:textId="756CEE2D">
      <w:pPr>
        <w:pStyle w:val="Default"/>
        <w:jc w:val="both"/>
        <w:rPr>
          <w:rFonts w:ascii="Arial" w:hAnsi="Arial" w:cs="Arial"/>
          <w:sz w:val="22"/>
          <w:szCs w:val="22"/>
        </w:rPr>
      </w:pPr>
    </w:p>
    <w:p w:rsidRPr="00860D96" w:rsidR="00ED1D6F" w:rsidP="0038138B" w:rsidRDefault="00ED1D6F" w14:paraId="6EFA1D65" w14:textId="0C469F02">
      <w:pPr>
        <w:pStyle w:val="Default"/>
        <w:jc w:val="both"/>
        <w:rPr>
          <w:rFonts w:ascii="Arial" w:hAnsi="Arial" w:cs="Arial"/>
          <w:sz w:val="22"/>
          <w:szCs w:val="22"/>
        </w:rPr>
      </w:pPr>
    </w:p>
    <w:p w:rsidRPr="00860D96" w:rsidR="00ED1D6F" w:rsidP="0038138B" w:rsidRDefault="00ED1D6F" w14:paraId="0C4ED830" w14:textId="47C84F5A">
      <w:pPr>
        <w:pStyle w:val="Default"/>
        <w:jc w:val="both"/>
        <w:rPr>
          <w:rFonts w:ascii="Arial" w:hAnsi="Arial" w:cs="Arial"/>
          <w:sz w:val="22"/>
          <w:szCs w:val="22"/>
        </w:rPr>
      </w:pPr>
    </w:p>
    <w:p w:rsidRPr="00860D96" w:rsidR="00ED1D6F" w:rsidP="0038138B" w:rsidRDefault="00ED1D6F" w14:paraId="6A990616" w14:textId="0B8B6465">
      <w:pPr>
        <w:pStyle w:val="Default"/>
        <w:jc w:val="both"/>
        <w:rPr>
          <w:rFonts w:ascii="Arial" w:hAnsi="Arial" w:cs="Arial"/>
          <w:sz w:val="22"/>
          <w:szCs w:val="22"/>
        </w:rPr>
      </w:pPr>
    </w:p>
    <w:p w:rsidRPr="00860D96" w:rsidR="00ED1D6F" w:rsidP="0038138B" w:rsidRDefault="00ED1D6F" w14:paraId="7D972777" w14:textId="2AD209F3">
      <w:pPr>
        <w:pStyle w:val="Default"/>
        <w:jc w:val="both"/>
        <w:rPr>
          <w:rFonts w:ascii="Arial" w:hAnsi="Arial" w:cs="Arial"/>
          <w:sz w:val="22"/>
          <w:szCs w:val="22"/>
        </w:rPr>
      </w:pPr>
    </w:p>
    <w:p w:rsidRPr="00860D96" w:rsidR="00ED1D6F" w:rsidP="0038138B" w:rsidRDefault="00ED1D6F" w14:paraId="56D483B8" w14:textId="77777777">
      <w:pPr>
        <w:pStyle w:val="Default"/>
        <w:jc w:val="both"/>
        <w:rPr>
          <w:rFonts w:ascii="Arial" w:hAnsi="Arial" w:cs="Arial"/>
          <w:sz w:val="22"/>
          <w:szCs w:val="22"/>
        </w:rPr>
      </w:pPr>
    </w:p>
    <w:p w:rsidRPr="00860D96" w:rsidR="00ED1D6F" w:rsidP="00ED1D6F" w:rsidRDefault="00ED1D6F" w14:paraId="4FCCAC4F" w14:textId="77777777">
      <w:pPr>
        <w:jc w:val="both"/>
        <w:rPr>
          <w:rFonts w:ascii="Arial" w:hAnsi="Arial" w:cs="Arial"/>
        </w:rPr>
      </w:pPr>
    </w:p>
    <w:p w:rsidR="00ED1D6F" w:rsidP="00860D96" w:rsidRDefault="00ED1D6F" w14:paraId="79FB2E7C" w14:textId="299B19E7">
      <w:pPr>
        <w:jc w:val="center"/>
        <w:rPr>
          <w:rFonts w:ascii="Arial" w:hAnsi="Arial" w:cs="Arial"/>
          <w:b/>
          <w:bCs/>
        </w:rPr>
      </w:pPr>
      <w:r w:rsidRPr="00860D96">
        <w:rPr>
          <w:rFonts w:ascii="Arial" w:hAnsi="Arial" w:cs="Arial"/>
          <w:b/>
          <w:bCs/>
        </w:rPr>
        <w:t>Anexo técnico</w:t>
      </w:r>
      <w:r w:rsidR="00F25009">
        <w:rPr>
          <w:rFonts w:ascii="Arial" w:hAnsi="Arial" w:cs="Arial"/>
          <w:b/>
          <w:bCs/>
        </w:rPr>
        <w:t xml:space="preserve"> No.1</w:t>
      </w:r>
    </w:p>
    <w:p w:rsidRPr="00860D96" w:rsidR="00ED1D6F" w:rsidP="00860D96" w:rsidRDefault="00ED1D6F" w14:paraId="34334F72" w14:textId="77777777">
      <w:pPr>
        <w:jc w:val="center"/>
        <w:rPr>
          <w:rFonts w:ascii="Arial" w:hAnsi="Arial" w:cs="Arial"/>
          <w:b/>
          <w:bCs/>
        </w:rPr>
      </w:pPr>
      <w:r w:rsidRPr="00860D96">
        <w:rPr>
          <w:rFonts w:ascii="Arial" w:hAnsi="Arial" w:cs="Arial"/>
          <w:b/>
          <w:bCs/>
        </w:rPr>
        <w:t>Contratación de servicios de conectividad tipo MPLS e internet</w:t>
      </w:r>
    </w:p>
    <w:p w:rsidRPr="00860D96" w:rsidR="00ED1D6F" w:rsidP="00ED1D6F" w:rsidRDefault="00ED1D6F" w14:paraId="2F7BA0C1" w14:textId="77777777">
      <w:pPr>
        <w:ind w:left="2832" w:hanging="2832"/>
        <w:jc w:val="center"/>
        <w:rPr>
          <w:rFonts w:ascii="Arial" w:hAnsi="Arial" w:cs="Arial"/>
          <w:b/>
          <w:bCs/>
        </w:rPr>
      </w:pPr>
    </w:p>
    <w:p w:rsidRPr="00860D96" w:rsidR="00ED1D6F" w:rsidP="00ED1D6F" w:rsidRDefault="00ED1D6F" w14:paraId="34D2EBDF" w14:textId="77777777">
      <w:pPr>
        <w:ind w:left="2832" w:hanging="2832"/>
        <w:jc w:val="both"/>
        <w:rPr>
          <w:rFonts w:ascii="Arial" w:hAnsi="Arial" w:cs="Arial"/>
          <w:b/>
          <w:bCs/>
        </w:rPr>
      </w:pPr>
      <w:r w:rsidRPr="00860D96">
        <w:rPr>
          <w:rFonts w:ascii="Arial" w:hAnsi="Arial" w:cs="Arial"/>
          <w:b/>
          <w:bCs/>
        </w:rPr>
        <w:t>Objeto:</w:t>
      </w:r>
    </w:p>
    <w:p w:rsidRPr="00860D96" w:rsidR="006D06F8" w:rsidP="006D06F8" w:rsidRDefault="006D06F8" w14:paraId="198ADA8E" w14:textId="77777777">
      <w:pPr>
        <w:jc w:val="both"/>
        <w:rPr>
          <w:rFonts w:ascii="Arial" w:hAnsi="Arial" w:cs="Arial"/>
        </w:rPr>
      </w:pPr>
      <w:r w:rsidRPr="00860D96">
        <w:rPr>
          <w:rFonts w:ascii="Arial" w:hAnsi="Arial" w:cs="Arial"/>
        </w:rPr>
        <w:t>Contratar servicios de conectividad tipo MPLS que permita la interconexión de las sucursales de Bancoldex y proveedores de servicios financieros con el data center principal, adicionalmente que permita la salida a internet de manera centralizada.</w:t>
      </w:r>
    </w:p>
    <w:p w:rsidRPr="00860D96" w:rsidR="00ED1D6F" w:rsidP="00ED1D6F" w:rsidRDefault="00ED1D6F" w14:paraId="5FF6EAD0" w14:textId="77777777">
      <w:pPr>
        <w:jc w:val="both"/>
        <w:rPr>
          <w:rFonts w:ascii="Arial" w:hAnsi="Arial" w:cs="Arial"/>
        </w:rPr>
      </w:pPr>
    </w:p>
    <w:p w:rsidRPr="00860D96" w:rsidR="00ED1D6F" w:rsidP="00ED1D6F" w:rsidRDefault="00ED1D6F" w14:paraId="1E9B1963" w14:textId="5D869760">
      <w:pPr>
        <w:jc w:val="both"/>
        <w:rPr>
          <w:rFonts w:ascii="Arial" w:hAnsi="Arial" w:cs="Arial"/>
          <w:b/>
          <w:bCs/>
        </w:rPr>
      </w:pPr>
      <w:r w:rsidRPr="00860D96">
        <w:rPr>
          <w:rFonts w:ascii="Arial" w:hAnsi="Arial" w:cs="Arial"/>
          <w:b/>
          <w:bCs/>
        </w:rPr>
        <w:t>Servicios</w:t>
      </w:r>
      <w:r w:rsidR="0084529A">
        <w:rPr>
          <w:rFonts w:ascii="Arial" w:hAnsi="Arial" w:cs="Arial"/>
          <w:b/>
          <w:bCs/>
        </w:rPr>
        <w:t>:</w:t>
      </w:r>
    </w:p>
    <w:p w:rsidRPr="00B867F9" w:rsidR="00ED1D6F" w:rsidP="00ED1D6F" w:rsidRDefault="00ED1D6F" w14:paraId="3F29AD0D" w14:textId="2269020D">
      <w:pPr>
        <w:jc w:val="both"/>
        <w:rPr>
          <w:rFonts w:ascii="Arial" w:hAnsi="Arial" w:cs="Arial"/>
          <w:i/>
          <w:iCs/>
        </w:rPr>
      </w:pPr>
      <w:r w:rsidRPr="00B867F9">
        <w:rPr>
          <w:rFonts w:ascii="Arial" w:hAnsi="Arial" w:cs="Arial"/>
          <w:i/>
          <w:iCs/>
        </w:rPr>
        <w:t>Conectividad tipo MPLS</w:t>
      </w:r>
    </w:p>
    <w:p w:rsidRPr="00860D96" w:rsidR="00ED1D6F" w:rsidP="00ED1D6F" w:rsidRDefault="00ED1D6F" w14:paraId="3CE0AD81" w14:textId="77777777">
      <w:pPr>
        <w:jc w:val="both"/>
        <w:rPr>
          <w:rFonts w:ascii="Arial" w:hAnsi="Arial" w:cs="Arial"/>
        </w:rPr>
      </w:pPr>
      <w:r w:rsidRPr="00860D96">
        <w:rPr>
          <w:rFonts w:ascii="Arial" w:hAnsi="Arial" w:cs="Arial"/>
        </w:rPr>
        <w:t>El proveedor deberá ofrecer una solución de conectividad tipo MPLS para la comunicación de la sede principal de Bancoldex con las sucursales y con las entidades financieras que las que se comparte información cumpliendo los siguientes requerimientos técnicos como mínimo:</w:t>
      </w:r>
    </w:p>
    <w:p w:rsidRPr="00860D96" w:rsidR="00ED1D6F" w:rsidP="18ABE54F" w:rsidRDefault="00ED1D6F" w14:paraId="126D0947" w14:textId="77777777">
      <w:pPr>
        <w:pStyle w:val="Prrafodelista"/>
        <w:numPr>
          <w:ilvl w:val="0"/>
          <w:numId w:val="13"/>
        </w:numPr>
        <w:jc w:val="both"/>
        <w:rPr>
          <w:rFonts w:ascii="Arial" w:hAnsi="Arial" w:eastAsia="Arial" w:cs="Arial" w:asciiTheme="minorAscii" w:hAnsiTheme="minorAscii" w:eastAsiaTheme="minorAscii" w:cstheme="minorAscii"/>
          <w:sz w:val="22"/>
          <w:szCs w:val="22"/>
        </w:rPr>
      </w:pPr>
      <w:r w:rsidRPr="00860D96" w:rsidR="00ED1D6F">
        <w:rPr>
          <w:rFonts w:ascii="Arial" w:hAnsi="Arial" w:cs="Arial"/>
        </w:rPr>
        <w:t>Tecnología de última milla en fibra óptica</w:t>
      </w:r>
    </w:p>
    <w:p w:rsidRPr="00860D96" w:rsidR="00ED1D6F" w:rsidP="18ABE54F" w:rsidRDefault="00ED1D6F" w14:paraId="7C09B358" w14:textId="77777777">
      <w:pPr>
        <w:pStyle w:val="Prrafodelista"/>
        <w:numPr>
          <w:ilvl w:val="0"/>
          <w:numId w:val="13"/>
        </w:numPr>
        <w:jc w:val="both"/>
        <w:rPr>
          <w:rFonts w:ascii="Arial" w:hAnsi="Arial" w:eastAsia="Arial" w:cs="Arial" w:asciiTheme="minorAscii" w:hAnsiTheme="minorAscii" w:eastAsiaTheme="minorAscii" w:cstheme="minorAscii"/>
          <w:sz w:val="22"/>
          <w:szCs w:val="22"/>
        </w:rPr>
      </w:pPr>
      <w:r w:rsidRPr="00860D96" w:rsidR="00ED1D6F">
        <w:rPr>
          <w:rFonts w:ascii="Arial" w:hAnsi="Arial" w:cs="Arial"/>
        </w:rPr>
        <w:t xml:space="preserve">Permitir diferentes niveles de </w:t>
      </w:r>
      <w:proofErr w:type="spellStart"/>
      <w:r w:rsidRPr="00860D96" w:rsidR="00ED1D6F">
        <w:rPr>
          <w:rFonts w:ascii="Arial" w:hAnsi="Arial" w:cs="Arial"/>
        </w:rPr>
        <w:t>QoS</w:t>
      </w:r>
      <w:proofErr w:type="spellEnd"/>
      <w:r w:rsidRPr="00860D96" w:rsidR="00ED1D6F">
        <w:rPr>
          <w:rFonts w:ascii="Arial" w:hAnsi="Arial" w:cs="Arial"/>
        </w:rPr>
        <w:t xml:space="preserve"> dentro de su </w:t>
      </w:r>
      <w:proofErr w:type="spellStart"/>
      <w:r w:rsidRPr="00860D96" w:rsidR="00ED1D6F">
        <w:rPr>
          <w:rFonts w:ascii="Arial" w:hAnsi="Arial" w:cs="Arial"/>
        </w:rPr>
        <w:t>backbone</w:t>
      </w:r>
      <w:proofErr w:type="spellEnd"/>
    </w:p>
    <w:p w:rsidRPr="00860D96" w:rsidR="00ED1D6F" w:rsidP="18ABE54F" w:rsidRDefault="00ED1D6F" w14:paraId="6EF19685" w14:textId="3723BFD3">
      <w:pPr>
        <w:pStyle w:val="Prrafodelista"/>
        <w:numPr>
          <w:ilvl w:val="0"/>
          <w:numId w:val="13"/>
        </w:numPr>
        <w:jc w:val="both"/>
        <w:rPr>
          <w:rFonts w:ascii="Arial" w:hAnsi="Arial" w:eastAsia="Arial" w:cs="Arial" w:asciiTheme="minorAscii" w:hAnsiTheme="minorAscii" w:eastAsiaTheme="minorAscii" w:cstheme="minorAscii"/>
          <w:sz w:val="22"/>
          <w:szCs w:val="22"/>
        </w:rPr>
      </w:pPr>
      <w:r w:rsidRPr="00860D96" w:rsidR="00ED1D6F">
        <w:rPr>
          <w:rFonts w:ascii="Arial" w:hAnsi="Arial" w:cs="Arial"/>
        </w:rPr>
        <w:t>Infraestructura propia</w:t>
      </w:r>
    </w:p>
    <w:p w:rsidRPr="00860D96" w:rsidR="00ED1D6F" w:rsidP="18ABE54F" w:rsidRDefault="00ED1D6F" w14:paraId="45286F24" w14:textId="77777777">
      <w:pPr>
        <w:pStyle w:val="Prrafodelista"/>
        <w:numPr>
          <w:ilvl w:val="0"/>
          <w:numId w:val="13"/>
        </w:numPr>
        <w:jc w:val="both"/>
        <w:rPr>
          <w:rFonts w:ascii="Arial" w:hAnsi="Arial" w:eastAsia="Arial" w:cs="Arial" w:asciiTheme="minorAscii" w:hAnsiTheme="minorAscii" w:eastAsiaTheme="minorAscii" w:cstheme="minorAscii"/>
          <w:sz w:val="22"/>
          <w:szCs w:val="22"/>
        </w:rPr>
      </w:pPr>
      <w:proofErr w:type="spellStart"/>
      <w:r w:rsidRPr="00860D96" w:rsidR="00ED1D6F">
        <w:rPr>
          <w:rFonts w:ascii="Arial" w:hAnsi="Arial" w:cs="Arial"/>
        </w:rPr>
        <w:t>Backbone</w:t>
      </w:r>
      <w:proofErr w:type="spellEnd"/>
      <w:r w:rsidRPr="00860D96" w:rsidR="00ED1D6F">
        <w:rPr>
          <w:rFonts w:ascii="Arial" w:hAnsi="Arial" w:cs="Arial"/>
        </w:rPr>
        <w:t xml:space="preserve"> redundante a nivel nacional</w:t>
      </w:r>
    </w:p>
    <w:p w:rsidR="00ED1D6F" w:rsidP="18ABE54F" w:rsidRDefault="00ED1D6F" w14:paraId="3B3C979D" w14:textId="4FA5B0F8">
      <w:pPr>
        <w:pStyle w:val="Prrafodelista"/>
        <w:numPr>
          <w:ilvl w:val="0"/>
          <w:numId w:val="13"/>
        </w:numPr>
        <w:jc w:val="both"/>
        <w:rPr>
          <w:rFonts w:ascii="Arial" w:hAnsi="Arial" w:eastAsia="Arial" w:cs="Arial" w:asciiTheme="minorAscii" w:hAnsiTheme="minorAscii" w:eastAsiaTheme="minorAscii" w:cstheme="minorAscii"/>
          <w:sz w:val="22"/>
          <w:szCs w:val="22"/>
        </w:rPr>
      </w:pPr>
      <w:r w:rsidRPr="00860D96" w:rsidR="00ED1D6F">
        <w:rPr>
          <w:rFonts w:ascii="Arial" w:hAnsi="Arial" w:cs="Arial"/>
        </w:rPr>
        <w:t>Entrega del servicio en conector RJ-45 macho bajo el protocolo Ethernet</w:t>
      </w:r>
    </w:p>
    <w:p w:rsidR="00001BA5" w:rsidP="18ABE54F" w:rsidRDefault="007D5B54" w14:paraId="2282EC11" w14:textId="6C729499">
      <w:pPr>
        <w:pStyle w:val="Prrafodelista"/>
        <w:numPr>
          <w:ilvl w:val="0"/>
          <w:numId w:val="13"/>
        </w:numPr>
        <w:ind/>
        <w:jc w:val="both"/>
        <w:rPr>
          <w:rFonts w:ascii="Arial" w:hAnsi="Arial" w:eastAsia="Arial" w:cs="Arial" w:asciiTheme="minorAscii" w:hAnsiTheme="minorAscii" w:eastAsiaTheme="minorAscii" w:cstheme="minorAscii"/>
          <w:sz w:val="22"/>
          <w:szCs w:val="22"/>
        </w:rPr>
      </w:pPr>
      <w:r w:rsidRPr="18ABE54F" w:rsidR="007D5B54">
        <w:rPr>
          <w:rFonts w:ascii="Arial" w:hAnsi="Arial" w:cs="Arial"/>
        </w:rPr>
        <w:t xml:space="preserve">Equipos de comunicaciones </w:t>
      </w:r>
      <w:r w:rsidRPr="18ABE54F" w:rsidR="00EC3E1A">
        <w:rPr>
          <w:rFonts w:ascii="Arial" w:hAnsi="Arial" w:cs="Arial"/>
        </w:rPr>
        <w:t>con</w:t>
      </w:r>
      <w:r w:rsidRPr="18ABE54F" w:rsidR="00001BA5">
        <w:rPr>
          <w:rFonts w:ascii="Arial" w:hAnsi="Arial" w:cs="Arial"/>
        </w:rPr>
        <w:t xml:space="preserve"> tecnología SD-WAN </w:t>
      </w:r>
      <w:r w:rsidRPr="18ABE54F" w:rsidR="00863892">
        <w:rPr>
          <w:rFonts w:ascii="Arial" w:hAnsi="Arial" w:cs="Arial"/>
        </w:rPr>
        <w:t xml:space="preserve">(aplica para las sedes regionales Pereira, Barranquilla, Bucaramanga, </w:t>
      </w:r>
      <w:r w:rsidRPr="18ABE54F" w:rsidR="000900EA">
        <w:rPr>
          <w:rFonts w:ascii="Arial" w:hAnsi="Arial" w:cs="Arial"/>
        </w:rPr>
        <w:t>Medellín, Cali</w:t>
      </w:r>
      <w:r w:rsidRPr="18ABE54F" w:rsidR="00DA4873">
        <w:rPr>
          <w:rFonts w:ascii="Arial" w:hAnsi="Arial" w:cs="Arial"/>
        </w:rPr>
        <w:t xml:space="preserve"> y Bogotá</w:t>
      </w:r>
      <w:r w:rsidRPr="18ABE54F" w:rsidR="000900EA">
        <w:rPr>
          <w:rFonts w:ascii="Arial" w:hAnsi="Arial" w:cs="Arial"/>
        </w:rPr>
        <w:t>)</w:t>
      </w:r>
    </w:p>
    <w:p w:rsidRPr="00860D96" w:rsidR="007D5B54" w:rsidP="18ABE54F" w:rsidRDefault="007D5B54" w14:paraId="44F47964" w14:textId="4134168B">
      <w:pPr>
        <w:pStyle w:val="Prrafodelista"/>
        <w:numPr>
          <w:ilvl w:val="0"/>
          <w:numId w:val="13"/>
        </w:numPr>
        <w:ind/>
        <w:jc w:val="both"/>
        <w:rPr>
          <w:rFonts w:ascii="Arial" w:hAnsi="Arial" w:eastAsia="Arial" w:cs="Arial" w:asciiTheme="minorAscii" w:hAnsiTheme="minorAscii" w:eastAsiaTheme="minorAscii" w:cstheme="minorAscii"/>
          <w:sz w:val="22"/>
          <w:szCs w:val="22"/>
        </w:rPr>
      </w:pPr>
      <w:r w:rsidRPr="18ABE54F" w:rsidR="007D5B54">
        <w:rPr>
          <w:rFonts w:ascii="Arial" w:hAnsi="Arial" w:cs="Arial"/>
        </w:rPr>
        <w:t>Disponibilidad del servicio de 99.6% como mínimo</w:t>
      </w:r>
    </w:p>
    <w:p w:rsidRPr="00B867F9" w:rsidR="00ED1D6F" w:rsidP="00ED1D6F" w:rsidRDefault="00ED1D6F" w14:paraId="1E912C37" w14:textId="77777777">
      <w:pPr>
        <w:jc w:val="both"/>
        <w:rPr>
          <w:rFonts w:ascii="Arial" w:hAnsi="Arial" w:cs="Arial"/>
          <w:i/>
          <w:iCs/>
        </w:rPr>
      </w:pPr>
      <w:r w:rsidRPr="00B867F9">
        <w:rPr>
          <w:rFonts w:ascii="Arial" w:hAnsi="Arial" w:cs="Arial"/>
          <w:i/>
          <w:iCs/>
        </w:rPr>
        <w:t>Conectividad Internet</w:t>
      </w:r>
      <w:r w:rsidRPr="00B867F9">
        <w:rPr>
          <w:rFonts w:ascii="Arial" w:hAnsi="Arial" w:cs="Arial"/>
          <w:i/>
          <w:iCs/>
        </w:rPr>
        <w:tab/>
      </w:r>
    </w:p>
    <w:p w:rsidRPr="00860D96" w:rsidR="00ED1D6F" w:rsidP="00ED1D6F" w:rsidRDefault="00ED1D6F" w14:paraId="425A0D13" w14:textId="77777777">
      <w:pPr>
        <w:jc w:val="both"/>
        <w:rPr>
          <w:rFonts w:ascii="Arial" w:hAnsi="Arial" w:cs="Arial"/>
        </w:rPr>
      </w:pPr>
      <w:r w:rsidRPr="00860D96">
        <w:rPr>
          <w:rFonts w:ascii="Arial" w:hAnsi="Arial" w:cs="Arial"/>
        </w:rPr>
        <w:t>El proveedor deberá ofrecer una solución de conectividad de Internet en la sede principal de Bancoldex cumpliendo los siguientes requerimientos técnicos como mínimo:</w:t>
      </w:r>
    </w:p>
    <w:p w:rsidRPr="00860D96" w:rsidR="00ED1D6F" w:rsidP="18ABE54F" w:rsidRDefault="00ED1D6F" w14:paraId="13B47C9A" w14:textId="77777777">
      <w:pPr>
        <w:pStyle w:val="Prrafodelista"/>
        <w:numPr>
          <w:ilvl w:val="0"/>
          <w:numId w:val="14"/>
        </w:numPr>
        <w:rPr>
          <w:rFonts w:ascii="Arial" w:hAnsi="Arial" w:eastAsia="Arial" w:cs="Arial" w:asciiTheme="minorAscii" w:hAnsiTheme="minorAscii" w:eastAsiaTheme="minorAscii" w:cstheme="minorAscii"/>
          <w:sz w:val="22"/>
          <w:szCs w:val="22"/>
        </w:rPr>
      </w:pPr>
      <w:r w:rsidRPr="00860D96" w:rsidR="00ED1D6F">
        <w:rPr>
          <w:rFonts w:ascii="Arial" w:hAnsi="Arial" w:cs="Arial"/>
        </w:rPr>
        <w:t>Tecnología de última milla en fibra óptica</w:t>
      </w:r>
    </w:p>
    <w:p w:rsidRPr="00860D96" w:rsidR="00ED1D6F" w:rsidP="18ABE54F" w:rsidRDefault="00ED1D6F" w14:paraId="0E1CEC9A" w14:textId="77777777">
      <w:pPr>
        <w:pStyle w:val="Prrafodelista"/>
        <w:numPr>
          <w:ilvl w:val="0"/>
          <w:numId w:val="14"/>
        </w:numPr>
        <w:rPr>
          <w:rFonts w:ascii="Arial" w:hAnsi="Arial" w:eastAsia="Arial" w:cs="Arial" w:asciiTheme="minorAscii" w:hAnsiTheme="minorAscii" w:eastAsiaTheme="minorAscii" w:cstheme="minorAscii"/>
          <w:sz w:val="22"/>
          <w:szCs w:val="22"/>
        </w:rPr>
      </w:pPr>
      <w:r w:rsidRPr="00860D96" w:rsidR="00ED1D6F">
        <w:rPr>
          <w:rFonts w:ascii="Arial" w:hAnsi="Arial" w:cs="Arial"/>
        </w:rPr>
        <w:t>Internet dedicado de 300 Mbps</w:t>
      </w:r>
    </w:p>
    <w:p w:rsidRPr="00860D96" w:rsidR="00ED1D6F" w:rsidP="18ABE54F" w:rsidRDefault="00ED1D6F" w14:paraId="06AD7C75" w14:textId="77777777">
      <w:pPr>
        <w:pStyle w:val="Prrafodelista"/>
        <w:numPr>
          <w:ilvl w:val="0"/>
          <w:numId w:val="14"/>
        </w:numPr>
        <w:rPr>
          <w:rFonts w:ascii="Arial" w:hAnsi="Arial" w:eastAsia="Arial" w:cs="Arial" w:asciiTheme="minorAscii" w:hAnsiTheme="minorAscii" w:eastAsiaTheme="minorAscii" w:cstheme="minorAscii"/>
          <w:sz w:val="22"/>
          <w:szCs w:val="22"/>
        </w:rPr>
      </w:pPr>
      <w:r w:rsidRPr="00860D96" w:rsidR="00ED1D6F">
        <w:rPr>
          <w:rFonts w:ascii="Arial" w:hAnsi="Arial" w:cs="Arial"/>
        </w:rPr>
        <w:t>Direccionamiento IP mascara /26</w:t>
      </w:r>
    </w:p>
    <w:p w:rsidRPr="00860D96" w:rsidR="00ED1D6F" w:rsidP="18ABE54F" w:rsidRDefault="00ED1D6F" w14:paraId="488C43EF" w14:textId="77777777">
      <w:pPr>
        <w:pStyle w:val="Prrafodelista"/>
        <w:numPr>
          <w:ilvl w:val="0"/>
          <w:numId w:val="14"/>
        </w:numPr>
        <w:rPr>
          <w:rFonts w:ascii="Arial" w:hAnsi="Arial" w:eastAsia="Arial" w:cs="Arial" w:asciiTheme="minorAscii" w:hAnsiTheme="minorAscii" w:eastAsiaTheme="minorAscii" w:cstheme="minorAscii"/>
          <w:sz w:val="22"/>
          <w:szCs w:val="22"/>
        </w:rPr>
      </w:pPr>
      <w:proofErr w:type="spellStart"/>
      <w:r w:rsidRPr="00860D96" w:rsidR="00ED1D6F">
        <w:rPr>
          <w:rFonts w:ascii="Arial" w:hAnsi="Arial" w:cs="Arial"/>
        </w:rPr>
        <w:t>Reuso</w:t>
      </w:r>
      <w:proofErr w:type="spellEnd"/>
      <w:r w:rsidRPr="00860D96" w:rsidR="00ED1D6F">
        <w:rPr>
          <w:rFonts w:ascii="Arial" w:hAnsi="Arial" w:cs="Arial"/>
        </w:rPr>
        <w:t xml:space="preserve">:  1:1 sin </w:t>
      </w:r>
      <w:proofErr w:type="spellStart"/>
      <w:r w:rsidRPr="00860D96" w:rsidR="00ED1D6F">
        <w:rPr>
          <w:rFonts w:ascii="Arial" w:hAnsi="Arial" w:cs="Arial"/>
        </w:rPr>
        <w:t>reuso</w:t>
      </w:r>
      <w:proofErr w:type="spellEnd"/>
      <w:r w:rsidRPr="00860D96" w:rsidR="00ED1D6F">
        <w:rPr>
          <w:rFonts w:ascii="Arial" w:hAnsi="Arial" w:cs="Arial"/>
        </w:rPr>
        <w:t>, dedicado de extremo a extremo</w:t>
      </w:r>
    </w:p>
    <w:p w:rsidRPr="00860D96" w:rsidR="00ED1D6F" w:rsidP="18ABE54F" w:rsidRDefault="00ED1D6F" w14:paraId="481700D7" w14:textId="77777777">
      <w:pPr>
        <w:pStyle w:val="Prrafodelista"/>
        <w:numPr>
          <w:ilvl w:val="0"/>
          <w:numId w:val="14"/>
        </w:numPr>
        <w:rPr>
          <w:rFonts w:ascii="Arial" w:hAnsi="Arial" w:eastAsia="Arial" w:cs="Arial" w:asciiTheme="minorAscii" w:hAnsiTheme="minorAscii" w:eastAsiaTheme="minorAscii" w:cstheme="minorAscii"/>
          <w:sz w:val="22"/>
          <w:szCs w:val="22"/>
        </w:rPr>
      </w:pPr>
      <w:r w:rsidRPr="00860D96" w:rsidR="00ED1D6F">
        <w:rPr>
          <w:rFonts w:ascii="Arial" w:hAnsi="Arial" w:cs="Arial"/>
        </w:rPr>
        <w:t>Canal simétrico</w:t>
      </w:r>
    </w:p>
    <w:p w:rsidRPr="00860D96" w:rsidR="00ED1D6F" w:rsidP="18ABE54F" w:rsidRDefault="00ED1D6F" w14:textId="77777777" w14:paraId="1AC2930D">
      <w:pPr>
        <w:pStyle w:val="Prrafodelista"/>
        <w:numPr>
          <w:ilvl w:val="0"/>
          <w:numId w:val="14"/>
        </w:numPr>
        <w:rPr>
          <w:rFonts w:ascii="Arial" w:hAnsi="Arial" w:eastAsia="Arial" w:cs="Arial" w:asciiTheme="minorAscii" w:hAnsiTheme="minorAscii" w:eastAsiaTheme="minorAscii" w:cstheme="minorAscii"/>
          <w:sz w:val="22"/>
          <w:szCs w:val="22"/>
        </w:rPr>
      </w:pPr>
      <w:r w:rsidRPr="00860D96" w:rsidR="00ED1D6F">
        <w:rPr>
          <w:rFonts w:ascii="Arial" w:hAnsi="Arial" w:cs="Arial"/>
        </w:rPr>
        <w:t>Latencia inferior a 50 ms</w:t>
      </w:r>
    </w:p>
    <w:p w:rsidRPr="00860D96" w:rsidR="00ED1D6F" w:rsidP="18ABE54F" w:rsidRDefault="00ED1D6F" w14:textId="77777777" w14:paraId="2E79D323">
      <w:pPr>
        <w:pStyle w:val="Prrafodelista"/>
        <w:numPr>
          <w:ilvl w:val="0"/>
          <w:numId w:val="14"/>
        </w:numPr>
        <w:rPr>
          <w:sz w:val="22"/>
          <w:szCs w:val="22"/>
        </w:rPr>
      </w:pPr>
      <w:r w:rsidRPr="00860D96" w:rsidR="00ED1D6F">
        <w:rPr>
          <w:rFonts w:ascii="Arial" w:hAnsi="Arial" w:cs="Arial"/>
        </w:rPr>
        <w:t>Disponibilidad 99.8%</w:t>
      </w:r>
    </w:p>
    <w:p w:rsidR="00571CE8" w:rsidP="00FB1E3D" w:rsidRDefault="00571CE8" w14:paraId="5043430C" w14:textId="77777777">
      <w:pPr>
        <w:rPr>
          <w:rFonts w:ascii="Arial" w:hAnsi="Arial" w:cs="Arial"/>
        </w:rPr>
      </w:pPr>
    </w:p>
    <w:p w:rsidRPr="00FB1E3D" w:rsidR="00FB1E3D" w:rsidP="00FB1E3D" w:rsidRDefault="00FB1E3D" w14:paraId="19FCC9E5" w14:textId="3386AA62">
      <w:pPr>
        <w:rPr>
          <w:rFonts w:ascii="Arial" w:hAnsi="Arial" w:cs="Arial"/>
        </w:rPr>
      </w:pPr>
      <w:r w:rsidRPr="00FB1E3D">
        <w:rPr>
          <w:rFonts w:ascii="Arial" w:hAnsi="Arial" w:cs="Arial"/>
        </w:rPr>
        <w:t xml:space="preserve">Garantizar un backbone redundante a nivel nacional con troncales principal y backup para la conectividad MPLS y para la salida a internet contar con un backbone redundante por fuera de Colombia </w:t>
      </w:r>
      <w:r w:rsidR="000D08DD">
        <w:rPr>
          <w:rFonts w:ascii="Arial" w:hAnsi="Arial" w:cs="Arial"/>
        </w:rPr>
        <w:t xml:space="preserve">al menos </w:t>
      </w:r>
      <w:r w:rsidR="00F51B92">
        <w:rPr>
          <w:rFonts w:ascii="Arial" w:hAnsi="Arial" w:cs="Arial"/>
        </w:rPr>
        <w:t>dos troncales</w:t>
      </w:r>
      <w:r w:rsidRPr="00FB1E3D">
        <w:rPr>
          <w:rFonts w:ascii="Arial" w:hAnsi="Arial" w:cs="Arial"/>
        </w:rPr>
        <w:t xml:space="preserve"> submarin</w:t>
      </w:r>
      <w:r w:rsidR="00F51B92">
        <w:rPr>
          <w:rFonts w:ascii="Arial" w:hAnsi="Arial" w:cs="Arial"/>
        </w:rPr>
        <w:t>as</w:t>
      </w:r>
      <w:r w:rsidRPr="00FB1E3D">
        <w:rPr>
          <w:rFonts w:ascii="Arial" w:hAnsi="Arial" w:cs="Arial"/>
        </w:rPr>
        <w:t xml:space="preserve"> que funcionen como principal y backup</w:t>
      </w:r>
      <w:r w:rsidR="009467AE">
        <w:rPr>
          <w:rFonts w:ascii="Arial" w:hAnsi="Arial" w:cs="Arial"/>
        </w:rPr>
        <w:t>, pueden ser propias o contratadas</w:t>
      </w:r>
      <w:r w:rsidR="00EF7F42">
        <w:rPr>
          <w:rFonts w:ascii="Arial" w:hAnsi="Arial" w:cs="Arial"/>
        </w:rPr>
        <w:t>. El pro</w:t>
      </w:r>
      <w:r w:rsidR="00C0121C">
        <w:rPr>
          <w:rFonts w:ascii="Arial" w:hAnsi="Arial" w:cs="Arial"/>
        </w:rPr>
        <w:t>ponente</w:t>
      </w:r>
      <w:r w:rsidR="00EF7F42">
        <w:rPr>
          <w:rFonts w:ascii="Arial" w:hAnsi="Arial" w:cs="Arial"/>
        </w:rPr>
        <w:t xml:space="preserve"> que cuente con la Infraestructura propia tendrá un puntaje mayor.</w:t>
      </w:r>
      <w:r w:rsidRPr="00FB1E3D">
        <w:rPr>
          <w:rFonts w:ascii="Arial" w:hAnsi="Arial" w:cs="Arial"/>
        </w:rPr>
        <w:t xml:space="preserve"> </w:t>
      </w:r>
    </w:p>
    <w:p w:rsidRPr="00860D96" w:rsidR="00ED1D6F" w:rsidP="00ED1D6F" w:rsidRDefault="00ED1D6F" w14:paraId="6E1ECF6D" w14:textId="77777777">
      <w:pPr>
        <w:rPr>
          <w:rFonts w:ascii="Arial" w:hAnsi="Arial" w:cs="Arial"/>
        </w:rPr>
      </w:pPr>
      <w:r w:rsidRPr="00860D96">
        <w:rPr>
          <w:rFonts w:ascii="Arial" w:hAnsi="Arial" w:cs="Arial"/>
        </w:rPr>
        <w:t>El proponente deberá incluir en su oferta un diagrama descriptivo de la red que soportará los servicios de datos propuestos, precisando el esquema de interconexión de sus nodos de acceso en cuanto a velocidades y medios físicos, puntos de cubrimiento en cada una de las ciudades donde el Banco cuenta con presencia en la actualidad. La red propuesta deberá contar con la flexibilidad para prestar los servicios de voz y video.</w:t>
      </w:r>
    </w:p>
    <w:p w:rsidRPr="00860D96" w:rsidR="00ED1D6F" w:rsidP="00ED1D6F" w:rsidRDefault="00ED1D6F" w14:paraId="2F08776B" w14:textId="77777777">
      <w:pPr>
        <w:jc w:val="both"/>
        <w:rPr>
          <w:rFonts w:ascii="Arial" w:hAnsi="Arial" w:cs="Arial"/>
        </w:rPr>
      </w:pPr>
      <w:r w:rsidRPr="00860D96">
        <w:rPr>
          <w:rFonts w:ascii="Arial" w:hAnsi="Arial" w:cs="Arial"/>
        </w:rPr>
        <w:t>El proponente deberá estar en capacidad de adecuar el ancho de banda solicitado de los servicios de datos acuerdo a futuras necesidades del Banco, de manera que sea capaz de soportar el tráfico adicional generado sin modificar de forma sustancial la arquitectura original de la solución propuesta. Este servicio deberá ser suministrado por el proveedor de manera temporal o permanente de acuerdo con las necesidades del banco.</w:t>
      </w:r>
    </w:p>
    <w:p w:rsidRPr="00860D96" w:rsidR="00ED1D6F" w:rsidP="00ED1D6F" w:rsidRDefault="00ED1D6F" w14:paraId="72DA1038" w14:textId="1E27C721">
      <w:pPr>
        <w:jc w:val="both"/>
        <w:rPr>
          <w:rFonts w:ascii="Arial" w:hAnsi="Arial" w:cs="Arial"/>
        </w:rPr>
      </w:pPr>
      <w:r w:rsidRPr="00860D96">
        <w:rPr>
          <w:rFonts w:ascii="Arial" w:hAnsi="Arial" w:cs="Arial"/>
        </w:rPr>
        <w:t xml:space="preserve">El proponente deberá incluir en su propuesta los costos del arriendo de los equipos de </w:t>
      </w:r>
      <w:r w:rsidRPr="00860D96" w:rsidR="00EB0684">
        <w:rPr>
          <w:rFonts w:ascii="Arial" w:hAnsi="Arial" w:cs="Arial"/>
        </w:rPr>
        <w:t>c</w:t>
      </w:r>
      <w:r w:rsidRPr="00860D96">
        <w:rPr>
          <w:rFonts w:ascii="Arial" w:hAnsi="Arial" w:cs="Arial"/>
        </w:rPr>
        <w:t>o</w:t>
      </w:r>
      <w:r w:rsidRPr="00860D96" w:rsidR="00EB0684">
        <w:rPr>
          <w:rFonts w:ascii="Arial" w:hAnsi="Arial" w:cs="Arial"/>
        </w:rPr>
        <w:t>municaciones</w:t>
      </w:r>
      <w:r w:rsidRPr="00860D96">
        <w:rPr>
          <w:rFonts w:ascii="Arial" w:hAnsi="Arial" w:cs="Arial"/>
        </w:rPr>
        <w:t xml:space="preserve"> </w:t>
      </w:r>
      <w:r w:rsidRPr="00860D96" w:rsidR="00EC7235">
        <w:rPr>
          <w:rFonts w:ascii="Arial" w:hAnsi="Arial" w:cs="Arial"/>
        </w:rPr>
        <w:t xml:space="preserve">que son </w:t>
      </w:r>
      <w:r w:rsidRPr="00860D96">
        <w:rPr>
          <w:rFonts w:ascii="Arial" w:hAnsi="Arial" w:cs="Arial"/>
        </w:rPr>
        <w:t>necesarios en las sedes</w:t>
      </w:r>
      <w:r w:rsidRPr="00860D96" w:rsidR="00C82D27">
        <w:rPr>
          <w:rFonts w:ascii="Arial" w:hAnsi="Arial" w:cs="Arial"/>
        </w:rPr>
        <w:t>.</w:t>
      </w:r>
    </w:p>
    <w:p w:rsidRPr="00860D96" w:rsidR="00ED1D6F" w:rsidP="00ED1D6F" w:rsidRDefault="00ED1D6F" w14:paraId="32AD3812" w14:textId="0749C13B">
      <w:pPr>
        <w:jc w:val="both"/>
        <w:rPr>
          <w:rFonts w:ascii="Arial" w:hAnsi="Arial" w:cs="Arial"/>
        </w:rPr>
      </w:pPr>
      <w:r w:rsidRPr="00860D96">
        <w:rPr>
          <w:rFonts w:ascii="Arial" w:hAnsi="Arial" w:cs="Arial"/>
        </w:rPr>
        <w:t xml:space="preserve">Los equipos de comunicaciones pueden ser elegidos por el proponente y deben estar actualizados a la última versión estable del fabricante, </w:t>
      </w:r>
      <w:r w:rsidRPr="00860D96" w:rsidR="00AE435A">
        <w:rPr>
          <w:rFonts w:ascii="Arial" w:hAnsi="Arial" w:cs="Arial"/>
        </w:rPr>
        <w:t xml:space="preserve">deben </w:t>
      </w:r>
      <w:r w:rsidRPr="00860D96" w:rsidR="00194F09">
        <w:rPr>
          <w:rFonts w:ascii="Arial" w:hAnsi="Arial" w:cs="Arial"/>
        </w:rPr>
        <w:t>tener un endurecimiento para asegurar</w:t>
      </w:r>
      <w:r w:rsidRPr="00860D96" w:rsidR="00C92739">
        <w:rPr>
          <w:rFonts w:ascii="Arial" w:hAnsi="Arial" w:cs="Arial"/>
        </w:rPr>
        <w:t xml:space="preserve"> el sistema,</w:t>
      </w:r>
      <w:r w:rsidRPr="00860D96" w:rsidR="004D6FA1">
        <w:rPr>
          <w:rFonts w:ascii="Arial" w:hAnsi="Arial" w:cs="Arial"/>
        </w:rPr>
        <w:t xml:space="preserve"> </w:t>
      </w:r>
      <w:r w:rsidRPr="00860D96">
        <w:rPr>
          <w:rFonts w:ascii="Arial" w:hAnsi="Arial" w:cs="Arial"/>
        </w:rPr>
        <w:t>no debe</w:t>
      </w:r>
      <w:r w:rsidRPr="00860D96" w:rsidR="00C92739">
        <w:rPr>
          <w:rFonts w:ascii="Arial" w:hAnsi="Arial" w:cs="Arial"/>
        </w:rPr>
        <w:t xml:space="preserve">n </w:t>
      </w:r>
      <w:r w:rsidRPr="00860D96" w:rsidR="00860D96">
        <w:rPr>
          <w:rFonts w:ascii="Arial" w:hAnsi="Arial" w:cs="Arial"/>
        </w:rPr>
        <w:t xml:space="preserve">tener </w:t>
      </w:r>
      <w:r w:rsidRPr="00860D96">
        <w:rPr>
          <w:rFonts w:ascii="Arial" w:hAnsi="Arial" w:cs="Arial"/>
        </w:rPr>
        <w:t>vulnerabilidades activas y debe tener soporte vigente con fabrica, para eso se debe adjuntar la documentación correspondiente que muestre la información</w:t>
      </w:r>
      <w:r w:rsidR="00571CE8">
        <w:rPr>
          <w:rFonts w:ascii="Arial" w:hAnsi="Arial" w:cs="Arial"/>
        </w:rPr>
        <w:t xml:space="preserve"> </w:t>
      </w:r>
      <w:r w:rsidRPr="00860D96">
        <w:rPr>
          <w:rFonts w:ascii="Arial" w:hAnsi="Arial" w:cs="Arial"/>
        </w:rPr>
        <w:t>solicitada.</w:t>
      </w:r>
      <w:r w:rsidRPr="00860D96" w:rsidR="00273764">
        <w:rPr>
          <w:rFonts w:ascii="Arial" w:hAnsi="Arial" w:cs="Arial"/>
        </w:rPr>
        <w:br/>
      </w:r>
      <w:r w:rsidRPr="00860D96" w:rsidR="00273764">
        <w:rPr>
          <w:rFonts w:ascii="Arial" w:hAnsi="Arial" w:cs="Arial"/>
        </w:rPr>
        <w:br/>
      </w:r>
      <w:r w:rsidRPr="00860D96" w:rsidR="008D0C01">
        <w:rPr>
          <w:rFonts w:ascii="Arial" w:hAnsi="Arial" w:cs="Arial"/>
        </w:rPr>
        <w:t>Los equipos de comunicaciones deben ser de propiedad del proponente</w:t>
      </w:r>
      <w:r w:rsidRPr="00860D96" w:rsidR="00955664">
        <w:rPr>
          <w:rFonts w:ascii="Arial" w:hAnsi="Arial" w:cs="Arial"/>
        </w:rPr>
        <w:t xml:space="preserve"> y deben ser responsables de la administración y soporte.</w:t>
      </w:r>
    </w:p>
    <w:p w:rsidRPr="00860D96" w:rsidR="00ED1D6F" w:rsidP="00ED1D6F" w:rsidRDefault="00ED1D6F" w14:paraId="3A4CCA9A" w14:textId="77777777">
      <w:pPr>
        <w:spacing w:after="0"/>
        <w:jc w:val="both"/>
        <w:rPr>
          <w:rFonts w:ascii="Arial" w:hAnsi="Arial" w:cs="Arial"/>
        </w:rPr>
      </w:pPr>
      <w:r w:rsidRPr="00860D96">
        <w:rPr>
          <w:rFonts w:ascii="Arial" w:hAnsi="Arial" w:cs="Arial"/>
        </w:rPr>
        <w:t>El ancho de banda para cada enlace será el siguiente:</w:t>
      </w:r>
    </w:p>
    <w:p w:rsidRPr="00860D96" w:rsidR="00ED1D6F" w:rsidP="00ED1D6F" w:rsidRDefault="00ED1D6F" w14:paraId="2F055B66" w14:textId="77777777">
      <w:pPr>
        <w:spacing w:after="0"/>
        <w:rPr>
          <w:rFonts w:ascii="Arial" w:hAnsi="Arial" w:cs="Arial"/>
        </w:rPr>
      </w:pPr>
    </w:p>
    <w:tbl>
      <w:tblPr>
        <w:tblW w:w="9788" w:type="dxa"/>
        <w:tblCellMar>
          <w:left w:w="70" w:type="dxa"/>
          <w:right w:w="70" w:type="dxa"/>
        </w:tblCellMar>
        <w:tblLook w:val="04A0" w:firstRow="1" w:lastRow="0" w:firstColumn="1" w:lastColumn="0" w:noHBand="0" w:noVBand="1"/>
      </w:tblPr>
      <w:tblGrid>
        <w:gridCol w:w="2272"/>
        <w:gridCol w:w="7516"/>
      </w:tblGrid>
      <w:tr w:rsidRPr="00860D96" w:rsidR="00ED1D6F" w:rsidTr="00653DFD" w14:paraId="157C61F5" w14:textId="77777777">
        <w:trPr>
          <w:trHeight w:val="306"/>
        </w:trPr>
        <w:tc>
          <w:tcPr>
            <w:tcW w:w="2272" w:type="dxa"/>
            <w:tcBorders>
              <w:top w:val="single" w:color="auto" w:sz="4" w:space="0"/>
              <w:left w:val="single" w:color="auto" w:sz="4" w:space="0"/>
              <w:bottom w:val="single" w:color="auto" w:sz="4" w:space="0"/>
              <w:right w:val="single" w:color="auto" w:sz="4" w:space="0"/>
            </w:tcBorders>
            <w:shd w:val="clear" w:color="auto" w:fill="auto"/>
            <w:noWrap/>
            <w:hideMark/>
          </w:tcPr>
          <w:p w:rsidRPr="00860D96" w:rsidR="00ED1D6F" w:rsidP="00653DFD" w:rsidRDefault="00ED1D6F" w14:paraId="7B902FA4" w14:textId="77777777">
            <w:pPr>
              <w:spacing w:after="0"/>
              <w:jc w:val="center"/>
              <w:rPr>
                <w:rFonts w:ascii="Arial" w:hAnsi="Arial" w:cs="Arial"/>
                <w:b/>
                <w:bCs/>
              </w:rPr>
            </w:pPr>
            <w:r w:rsidRPr="00860D96">
              <w:rPr>
                <w:rFonts w:ascii="Arial" w:hAnsi="Arial" w:cs="Arial"/>
                <w:b/>
                <w:bCs/>
              </w:rPr>
              <w:t>BW</w:t>
            </w:r>
          </w:p>
        </w:tc>
        <w:tc>
          <w:tcPr>
            <w:tcW w:w="7516" w:type="dxa"/>
            <w:tcBorders>
              <w:top w:val="single" w:color="auto" w:sz="4" w:space="0"/>
              <w:left w:val="nil"/>
              <w:bottom w:val="single" w:color="auto" w:sz="4" w:space="0"/>
              <w:right w:val="single" w:color="auto" w:sz="4" w:space="0"/>
            </w:tcBorders>
            <w:shd w:val="clear" w:color="auto" w:fill="auto"/>
            <w:noWrap/>
            <w:hideMark/>
          </w:tcPr>
          <w:p w:rsidRPr="00860D96" w:rsidR="00ED1D6F" w:rsidP="00653DFD" w:rsidRDefault="00ED1D6F" w14:paraId="6580B3BE" w14:textId="77777777">
            <w:pPr>
              <w:spacing w:after="0"/>
              <w:jc w:val="center"/>
              <w:rPr>
                <w:rFonts w:ascii="Arial" w:hAnsi="Arial" w:cs="Arial"/>
                <w:b/>
                <w:bCs/>
              </w:rPr>
            </w:pPr>
            <w:r w:rsidRPr="00860D96">
              <w:rPr>
                <w:rFonts w:ascii="Arial" w:hAnsi="Arial" w:cs="Arial"/>
                <w:b/>
                <w:bCs/>
              </w:rPr>
              <w:t>SEDE</w:t>
            </w:r>
          </w:p>
        </w:tc>
      </w:tr>
      <w:tr w:rsidRPr="00860D96" w:rsidR="00ED1D6F" w:rsidTr="00653DFD" w14:paraId="39287AD1"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ED1D6F" w14:paraId="5FC6B6FD" w14:textId="77777777">
            <w:pPr>
              <w:spacing w:after="0"/>
              <w:rPr>
                <w:rFonts w:ascii="Arial" w:hAnsi="Arial" w:cs="Arial"/>
              </w:rPr>
            </w:pPr>
            <w:r w:rsidRPr="00860D96">
              <w:rPr>
                <w:rFonts w:ascii="Arial" w:hAnsi="Arial" w:cs="Arial"/>
              </w:rPr>
              <w:t>600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6566F095" w14:textId="0817EE3D">
            <w:pPr>
              <w:spacing w:after="0"/>
              <w:rPr>
                <w:rFonts w:ascii="Arial" w:hAnsi="Arial" w:cs="Arial"/>
              </w:rPr>
            </w:pPr>
            <w:r w:rsidRPr="00860D96">
              <w:rPr>
                <w:rFonts w:ascii="Arial" w:hAnsi="Arial" w:cs="Arial"/>
              </w:rPr>
              <w:t xml:space="preserve">BTA </w:t>
            </w:r>
            <w:r w:rsidR="00FF2BC6">
              <w:rPr>
                <w:rFonts w:ascii="Arial" w:hAnsi="Arial" w:cs="Arial"/>
                <w:b/>
                <w:bCs/>
              </w:rPr>
              <w:t xml:space="preserve">(Calle 28 # 13 A 15) </w:t>
            </w:r>
            <w:r w:rsidRPr="00860D96">
              <w:rPr>
                <w:rFonts w:ascii="Arial" w:hAnsi="Arial" w:cs="Arial"/>
              </w:rPr>
              <w:t>- BANCO DE LA REPUBLICA – WSEBRA CR 7 14-78 P.7 C</w:t>
            </w:r>
          </w:p>
        </w:tc>
      </w:tr>
      <w:tr w:rsidRPr="00860D96" w:rsidR="00ED1D6F" w:rsidTr="00653DFD" w14:paraId="068D6F83"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tcPr>
          <w:p w:rsidRPr="00860D96" w:rsidR="00ED1D6F" w:rsidP="00653DFD" w:rsidRDefault="00ED1D6F" w14:paraId="60FC72F9" w14:textId="77777777">
            <w:pPr>
              <w:spacing w:after="0"/>
              <w:rPr>
                <w:rFonts w:ascii="Arial" w:hAnsi="Arial" w:cs="Arial"/>
              </w:rPr>
            </w:pPr>
            <w:r w:rsidRPr="00860D96">
              <w:rPr>
                <w:rFonts w:ascii="Arial" w:hAnsi="Arial" w:cs="Arial"/>
              </w:rPr>
              <w:t>1024 kbps</w:t>
            </w:r>
          </w:p>
        </w:tc>
        <w:tc>
          <w:tcPr>
            <w:tcW w:w="7516" w:type="dxa"/>
            <w:tcBorders>
              <w:top w:val="nil"/>
              <w:left w:val="nil"/>
              <w:bottom w:val="single" w:color="auto" w:sz="4" w:space="0"/>
              <w:right w:val="single" w:color="auto" w:sz="4" w:space="0"/>
            </w:tcBorders>
            <w:shd w:val="clear" w:color="auto" w:fill="auto"/>
            <w:noWrap/>
          </w:tcPr>
          <w:p w:rsidRPr="00860D96" w:rsidR="00ED1D6F" w:rsidP="00653DFD" w:rsidRDefault="00ED1D6F" w14:paraId="4FD3AC7F" w14:textId="191B3D9B">
            <w:pPr>
              <w:spacing w:after="0"/>
              <w:rPr>
                <w:rFonts w:ascii="Arial" w:hAnsi="Arial" w:cs="Arial"/>
              </w:rPr>
            </w:pPr>
            <w:r w:rsidRPr="00860D96">
              <w:rPr>
                <w:rFonts w:ascii="Arial" w:hAnsi="Arial" w:cs="Arial"/>
              </w:rPr>
              <w:t xml:space="preserve">BTA </w:t>
            </w:r>
            <w:r w:rsidR="00FF2BC6">
              <w:rPr>
                <w:rFonts w:ascii="Arial" w:hAnsi="Arial" w:cs="Arial"/>
                <w:b/>
                <w:bCs/>
              </w:rPr>
              <w:t xml:space="preserve">(Calle 28 # 13 A 15) </w:t>
            </w:r>
            <w:r w:rsidRPr="00860D96">
              <w:rPr>
                <w:rFonts w:ascii="Arial" w:hAnsi="Arial" w:cs="Arial"/>
              </w:rPr>
              <w:t>- BANCO DE LA REPUBLICA – SEN CR 7 14-78 P.7 C</w:t>
            </w:r>
          </w:p>
        </w:tc>
      </w:tr>
      <w:tr w:rsidRPr="00860D96" w:rsidR="00ED1D6F" w:rsidTr="00653DFD" w14:paraId="192AB102"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C42825" w14:paraId="7AFBB33A" w14:textId="255E3C44">
            <w:pPr>
              <w:spacing w:after="0"/>
              <w:rPr>
                <w:rFonts w:ascii="Arial" w:hAnsi="Arial" w:cs="Arial"/>
              </w:rPr>
            </w:pPr>
            <w:r>
              <w:rPr>
                <w:rFonts w:ascii="Arial" w:hAnsi="Arial" w:cs="Arial"/>
              </w:rPr>
              <w:t>5120</w:t>
            </w:r>
            <w:r w:rsidRPr="00860D96" w:rsidR="00ED1D6F">
              <w:rPr>
                <w:rFonts w:ascii="Arial" w:hAnsi="Arial" w:cs="Arial"/>
              </w:rPr>
              <w:t xml:space="preserve">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2517B294" w14:textId="45171390">
            <w:pPr>
              <w:spacing w:after="0"/>
              <w:rPr>
                <w:rFonts w:ascii="Arial" w:hAnsi="Arial" w:cs="Arial"/>
              </w:rPr>
            </w:pPr>
            <w:r w:rsidRPr="00860D96">
              <w:rPr>
                <w:rFonts w:ascii="Arial" w:hAnsi="Arial" w:cs="Arial"/>
              </w:rPr>
              <w:t xml:space="preserve">BTA </w:t>
            </w:r>
            <w:r w:rsidR="00FF2BC6">
              <w:rPr>
                <w:rFonts w:ascii="Arial" w:hAnsi="Arial" w:cs="Arial"/>
                <w:b/>
                <w:bCs/>
              </w:rPr>
              <w:t xml:space="preserve">(Calle 28 # 13 A 15) </w:t>
            </w:r>
            <w:r w:rsidRPr="00860D96">
              <w:rPr>
                <w:rFonts w:ascii="Arial" w:hAnsi="Arial" w:cs="Arial"/>
              </w:rPr>
              <w:t>– BLOOMBERG CARRERA 68 169A-73 Data Center Colombia XV</w:t>
            </w:r>
          </w:p>
        </w:tc>
      </w:tr>
      <w:tr w:rsidRPr="00860D96" w:rsidR="00ED1D6F" w:rsidTr="00653DFD" w14:paraId="3B224A02"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E82834" w14:paraId="15D55A05" w14:textId="2C0F6B92">
            <w:pPr>
              <w:spacing w:after="0"/>
              <w:rPr>
                <w:rFonts w:ascii="Arial" w:hAnsi="Arial" w:cs="Arial"/>
              </w:rPr>
            </w:pPr>
            <w:r>
              <w:rPr>
                <w:rFonts w:ascii="Arial" w:hAnsi="Arial" w:cs="Arial"/>
              </w:rPr>
              <w:t>20480</w:t>
            </w:r>
            <w:r w:rsidRPr="00860D96" w:rsidR="00ED1D6F">
              <w:rPr>
                <w:rFonts w:ascii="Arial" w:hAnsi="Arial" w:cs="Arial"/>
              </w:rPr>
              <w:t xml:space="preserve">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34EB1F73" w14:textId="0FC54E42">
            <w:pPr>
              <w:spacing w:after="0"/>
              <w:rPr>
                <w:rFonts w:ascii="Arial" w:hAnsi="Arial" w:cs="Arial"/>
              </w:rPr>
            </w:pPr>
            <w:r w:rsidRPr="00C97AC5">
              <w:rPr>
                <w:rFonts w:ascii="Arial" w:hAnsi="Arial" w:cs="Arial"/>
                <w:b/>
                <w:bCs/>
              </w:rPr>
              <w:t>PEREIRA</w:t>
            </w:r>
            <w:r w:rsidRPr="00860D96">
              <w:rPr>
                <w:rFonts w:ascii="Arial" w:hAnsi="Arial" w:cs="Arial"/>
              </w:rPr>
              <w:t xml:space="preserve"> Carrera 13 Nro. 13-40 Oficina 405 Centro Comercial</w:t>
            </w:r>
            <w:r w:rsidR="00F54A80">
              <w:rPr>
                <w:rFonts w:ascii="Arial" w:hAnsi="Arial" w:cs="Arial"/>
              </w:rPr>
              <w:t xml:space="preserve"> Uniplex</w:t>
            </w:r>
          </w:p>
        </w:tc>
      </w:tr>
      <w:tr w:rsidRPr="00860D96" w:rsidR="00ED1D6F" w:rsidTr="00653DFD" w14:paraId="422D4F26"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tcPr>
          <w:p w:rsidRPr="00860D96" w:rsidR="00ED1D6F" w:rsidP="00653DFD" w:rsidRDefault="00E82834" w14:paraId="2D7DF04A" w14:textId="4FAD177F">
            <w:pPr>
              <w:spacing w:after="0"/>
              <w:rPr>
                <w:rFonts w:ascii="Arial" w:hAnsi="Arial" w:cs="Arial"/>
              </w:rPr>
            </w:pPr>
            <w:r>
              <w:rPr>
                <w:rFonts w:ascii="Arial" w:hAnsi="Arial" w:cs="Arial"/>
              </w:rPr>
              <w:t>20480</w:t>
            </w:r>
            <w:r w:rsidRPr="00860D96" w:rsidR="00ED1D6F">
              <w:rPr>
                <w:rFonts w:ascii="Arial" w:hAnsi="Arial" w:cs="Arial"/>
              </w:rPr>
              <w:t xml:space="preserve"> kbps</w:t>
            </w:r>
          </w:p>
        </w:tc>
        <w:tc>
          <w:tcPr>
            <w:tcW w:w="7516" w:type="dxa"/>
            <w:tcBorders>
              <w:top w:val="nil"/>
              <w:left w:val="nil"/>
              <w:bottom w:val="single" w:color="auto" w:sz="4" w:space="0"/>
              <w:right w:val="single" w:color="auto" w:sz="4" w:space="0"/>
            </w:tcBorders>
            <w:shd w:val="clear" w:color="auto" w:fill="auto"/>
            <w:noWrap/>
          </w:tcPr>
          <w:p w:rsidRPr="00860D96" w:rsidR="00ED1D6F" w:rsidP="00653DFD" w:rsidRDefault="00ED1D6F" w14:paraId="53781E40" w14:textId="168C63C2">
            <w:pPr>
              <w:spacing w:after="0"/>
              <w:rPr>
                <w:rFonts w:ascii="Arial" w:hAnsi="Arial" w:cs="Arial"/>
              </w:rPr>
            </w:pPr>
            <w:r w:rsidRPr="0056053D">
              <w:rPr>
                <w:rFonts w:ascii="Arial" w:hAnsi="Arial" w:cs="Arial"/>
                <w:b/>
                <w:bCs/>
              </w:rPr>
              <w:t>CALI</w:t>
            </w:r>
            <w:r w:rsidRPr="00860D96">
              <w:rPr>
                <w:rFonts w:ascii="Arial" w:hAnsi="Arial" w:cs="Arial"/>
              </w:rPr>
              <w:t xml:space="preserve"> </w:t>
            </w:r>
            <w:r w:rsidRPr="00995E00" w:rsidR="00C97AC5">
              <w:rPr>
                <w:rFonts w:ascii="Arial" w:hAnsi="Arial" w:cs="Arial"/>
              </w:rPr>
              <w:t>Calle 4 Norte No. 1N - 04 edificio Mercurio, barrio Centenario</w:t>
            </w:r>
          </w:p>
        </w:tc>
      </w:tr>
      <w:tr w:rsidRPr="00860D96" w:rsidR="00ED1D6F" w:rsidTr="00653DFD" w14:paraId="0B75B18F"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E82834" w14:paraId="5F422CBC" w14:textId="34A18263">
            <w:pPr>
              <w:spacing w:after="0"/>
              <w:rPr>
                <w:rFonts w:ascii="Arial" w:hAnsi="Arial" w:cs="Arial"/>
              </w:rPr>
            </w:pPr>
            <w:r>
              <w:rPr>
                <w:rFonts w:ascii="Arial" w:hAnsi="Arial" w:cs="Arial"/>
              </w:rPr>
              <w:t>20480</w:t>
            </w:r>
            <w:r w:rsidRPr="00860D96" w:rsidR="00ED1D6F">
              <w:rPr>
                <w:rFonts w:ascii="Arial" w:hAnsi="Arial" w:cs="Arial"/>
              </w:rPr>
              <w:t xml:space="preserve">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08BB1087" w14:textId="26A9EECA">
            <w:pPr>
              <w:spacing w:after="0"/>
              <w:rPr>
                <w:rFonts w:ascii="Arial" w:hAnsi="Arial" w:cs="Arial"/>
              </w:rPr>
            </w:pPr>
            <w:r w:rsidRPr="00EA496C">
              <w:rPr>
                <w:rFonts w:ascii="Arial" w:hAnsi="Arial" w:cs="Arial"/>
                <w:b/>
                <w:bCs/>
              </w:rPr>
              <w:t>BUCARAMANGA</w:t>
            </w:r>
            <w:r w:rsidRPr="00860D96">
              <w:rPr>
                <w:rFonts w:ascii="Arial" w:hAnsi="Arial" w:cs="Arial"/>
              </w:rPr>
              <w:t xml:space="preserve"> </w:t>
            </w:r>
            <w:r w:rsidRPr="00EA496C" w:rsidR="00EA496C">
              <w:rPr>
                <w:rFonts w:ascii="Arial" w:hAnsi="Arial" w:cs="Arial"/>
              </w:rPr>
              <w:t>Km2, 176. Anillo Vial Floridablanca – Girón Eco-Parque Empresarial Natura Torre 1 Oficina 413</w:t>
            </w:r>
          </w:p>
        </w:tc>
      </w:tr>
      <w:tr w:rsidRPr="00860D96" w:rsidR="00ED1D6F" w:rsidTr="00653DFD" w14:paraId="155EA91F" w14:textId="77777777">
        <w:trPr>
          <w:trHeight w:val="306"/>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E82834" w14:paraId="3D297C5D" w14:textId="1DB298DF">
            <w:pPr>
              <w:spacing w:after="0"/>
              <w:rPr>
                <w:rFonts w:ascii="Arial" w:hAnsi="Arial" w:cs="Arial"/>
              </w:rPr>
            </w:pPr>
            <w:r>
              <w:rPr>
                <w:rFonts w:ascii="Arial" w:hAnsi="Arial" w:cs="Arial"/>
              </w:rPr>
              <w:t>20480</w:t>
            </w:r>
            <w:r w:rsidRPr="00860D96" w:rsidR="00ED1D6F">
              <w:rPr>
                <w:rFonts w:ascii="Arial" w:hAnsi="Arial" w:cs="Arial"/>
              </w:rPr>
              <w:t xml:space="preserve">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7B94C536" w14:textId="77777777">
            <w:pPr>
              <w:spacing w:after="0"/>
              <w:rPr>
                <w:rFonts w:ascii="Arial" w:hAnsi="Arial" w:cs="Arial"/>
              </w:rPr>
            </w:pPr>
            <w:r w:rsidRPr="00DF79C3">
              <w:rPr>
                <w:rFonts w:ascii="Arial" w:hAnsi="Arial" w:cs="Arial"/>
                <w:b/>
                <w:bCs/>
              </w:rPr>
              <w:t>BARRANQUILLA</w:t>
            </w:r>
            <w:r w:rsidRPr="00860D96">
              <w:rPr>
                <w:rFonts w:ascii="Arial" w:hAnsi="Arial" w:cs="Arial"/>
              </w:rPr>
              <w:t xml:space="preserve"> Cra 52 No.76-167 local 101, centro comercial Atlantic Center</w:t>
            </w:r>
          </w:p>
        </w:tc>
      </w:tr>
      <w:tr w:rsidRPr="00860D96" w:rsidR="00ED1D6F" w:rsidTr="00653DFD" w14:paraId="2D78428E" w14:textId="77777777">
        <w:trPr>
          <w:trHeight w:val="282"/>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E82834" w14:paraId="6B8AD184" w14:textId="6B439759">
            <w:pPr>
              <w:spacing w:after="0"/>
              <w:rPr>
                <w:rFonts w:ascii="Arial" w:hAnsi="Arial" w:cs="Arial"/>
              </w:rPr>
            </w:pPr>
            <w:r>
              <w:rPr>
                <w:rFonts w:ascii="Arial" w:hAnsi="Arial" w:cs="Arial"/>
              </w:rPr>
              <w:t>20480</w:t>
            </w:r>
            <w:r w:rsidRPr="00860D96" w:rsidR="00ED1D6F">
              <w:rPr>
                <w:rFonts w:ascii="Arial" w:hAnsi="Arial" w:cs="Arial"/>
              </w:rPr>
              <w:t xml:space="preserve">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4794AB31" w14:textId="77777777">
            <w:pPr>
              <w:spacing w:after="0"/>
              <w:rPr>
                <w:rFonts w:ascii="Arial" w:hAnsi="Arial" w:cs="Arial"/>
              </w:rPr>
            </w:pPr>
            <w:r w:rsidRPr="00DF79C3">
              <w:rPr>
                <w:rFonts w:ascii="Arial" w:hAnsi="Arial" w:cs="Arial"/>
                <w:b/>
                <w:bCs/>
              </w:rPr>
              <w:t>MEDELLIN</w:t>
            </w:r>
            <w:r w:rsidRPr="00860D96">
              <w:rPr>
                <w:rFonts w:ascii="Arial" w:hAnsi="Arial" w:cs="Arial"/>
              </w:rPr>
              <w:t xml:space="preserve"> Calle 7 Sur No. 42 - 70, oficina 613, edificio Forum, sector de El Poblado</w:t>
            </w:r>
          </w:p>
        </w:tc>
      </w:tr>
      <w:tr w:rsidRPr="00860D96" w:rsidR="00ED1D6F" w:rsidTr="00653DFD" w14:paraId="73A808C1" w14:textId="77777777">
        <w:trPr>
          <w:trHeight w:val="521"/>
        </w:trPr>
        <w:tc>
          <w:tcPr>
            <w:tcW w:w="2272" w:type="dxa"/>
            <w:tcBorders>
              <w:top w:val="nil"/>
              <w:left w:val="single" w:color="auto" w:sz="4" w:space="0"/>
              <w:bottom w:val="single" w:color="auto" w:sz="4" w:space="0"/>
              <w:right w:val="single" w:color="auto" w:sz="4" w:space="0"/>
            </w:tcBorders>
            <w:shd w:val="clear" w:color="auto" w:fill="auto"/>
            <w:noWrap/>
            <w:hideMark/>
          </w:tcPr>
          <w:p w:rsidRPr="00860D96" w:rsidR="00ED1D6F" w:rsidP="00653DFD" w:rsidRDefault="00ED1D6F" w14:paraId="799E0D8F" w14:textId="77777777">
            <w:pPr>
              <w:spacing w:after="0"/>
              <w:rPr>
                <w:rFonts w:ascii="Arial" w:hAnsi="Arial" w:cs="Arial"/>
              </w:rPr>
            </w:pPr>
            <w:r w:rsidRPr="00860D96">
              <w:rPr>
                <w:rFonts w:ascii="Arial" w:hAnsi="Arial" w:cs="Arial"/>
              </w:rPr>
              <w:lastRenderedPageBreak/>
              <w:t>307200 kbps</w:t>
            </w:r>
          </w:p>
        </w:tc>
        <w:tc>
          <w:tcPr>
            <w:tcW w:w="7516" w:type="dxa"/>
            <w:tcBorders>
              <w:top w:val="nil"/>
              <w:left w:val="nil"/>
              <w:bottom w:val="single" w:color="auto" w:sz="4" w:space="0"/>
              <w:right w:val="single" w:color="auto" w:sz="4" w:space="0"/>
            </w:tcBorders>
            <w:shd w:val="clear" w:color="auto" w:fill="auto"/>
            <w:noWrap/>
            <w:hideMark/>
          </w:tcPr>
          <w:p w:rsidRPr="00860D96" w:rsidR="00ED1D6F" w:rsidP="00653DFD" w:rsidRDefault="00ED1D6F" w14:paraId="3F7B2E32" w14:textId="77777777">
            <w:pPr>
              <w:spacing w:after="0"/>
              <w:rPr>
                <w:rFonts w:ascii="Arial" w:hAnsi="Arial" w:cs="Arial"/>
              </w:rPr>
            </w:pPr>
            <w:r w:rsidRPr="00860D96">
              <w:rPr>
                <w:rFonts w:ascii="Arial" w:hAnsi="Arial" w:cs="Arial"/>
              </w:rPr>
              <w:t>BTA - BANCOLDEX - CENTRO DE COMERCIO INTERNACIONAL</w:t>
            </w:r>
            <w:r w:rsidRPr="00860D96">
              <w:rPr>
                <w:rFonts w:ascii="Arial" w:hAnsi="Arial" w:cs="Arial"/>
              </w:rPr>
              <w:tab/>
            </w:r>
            <w:r w:rsidRPr="00860D96">
              <w:rPr>
                <w:rFonts w:ascii="Arial" w:hAnsi="Arial" w:cs="Arial"/>
              </w:rPr>
              <w:t>CALLE 28 # 13A-15 PISO 40 / BO</w:t>
            </w:r>
          </w:p>
        </w:tc>
      </w:tr>
    </w:tbl>
    <w:p w:rsidRPr="00860D96" w:rsidR="00ED1D6F" w:rsidP="00ED1D6F" w:rsidRDefault="00ED1D6F" w14:paraId="1064D717" w14:textId="77777777">
      <w:pPr>
        <w:rPr>
          <w:rFonts w:ascii="Arial" w:hAnsi="Arial" w:cs="Arial"/>
        </w:rPr>
      </w:pPr>
    </w:p>
    <w:p w:rsidRPr="00860D96" w:rsidR="00ED1D6F" w:rsidP="00ED1D6F" w:rsidRDefault="00ED1D6F" w14:paraId="53F15C7B" w14:textId="52BF9B3A">
      <w:pPr>
        <w:rPr>
          <w:rFonts w:ascii="Arial" w:hAnsi="Arial" w:cs="Arial"/>
          <w:b/>
          <w:bCs/>
        </w:rPr>
      </w:pPr>
      <w:r w:rsidRPr="00860D96">
        <w:rPr>
          <w:rFonts w:ascii="Arial" w:hAnsi="Arial" w:cs="Arial"/>
          <w:b/>
          <w:bCs/>
        </w:rPr>
        <w:t>Contratación</w:t>
      </w:r>
    </w:p>
    <w:p w:rsidR="00ED1D6F" w:rsidP="00ED1D6F" w:rsidRDefault="00ED1D6F" w14:paraId="6D75AB87" w14:textId="4AAEDC27">
      <w:pPr>
        <w:rPr>
          <w:rFonts w:ascii="Arial" w:hAnsi="Arial" w:cs="Arial"/>
        </w:rPr>
      </w:pPr>
      <w:r w:rsidRPr="00860D96">
        <w:rPr>
          <w:rFonts w:ascii="Arial" w:hAnsi="Arial" w:cs="Arial"/>
        </w:rPr>
        <w:t>La contratación del servic</w:t>
      </w:r>
      <w:r w:rsidR="004353E1">
        <w:rPr>
          <w:rFonts w:ascii="Arial" w:hAnsi="Arial" w:cs="Arial"/>
        </w:rPr>
        <w:t xml:space="preserve">io deberá ser a </w:t>
      </w:r>
      <w:r w:rsidRPr="00860D96">
        <w:rPr>
          <w:rFonts w:ascii="Arial" w:hAnsi="Arial" w:cs="Arial"/>
        </w:rPr>
        <w:t>3 años</w:t>
      </w:r>
    </w:p>
    <w:p w:rsidR="00534896" w:rsidP="00ED1D6F" w:rsidRDefault="00534896" w14:paraId="3140A487" w14:textId="0E945B5F">
      <w:pPr>
        <w:rPr>
          <w:rFonts w:ascii="Arial" w:hAnsi="Arial" w:cs="Arial"/>
          <w:b/>
          <w:bCs/>
        </w:rPr>
      </w:pPr>
      <w:r w:rsidRPr="00534896">
        <w:rPr>
          <w:rFonts w:ascii="Arial" w:hAnsi="Arial" w:cs="Arial"/>
          <w:b/>
          <w:bCs/>
        </w:rPr>
        <w:t>Modelo de soporte</w:t>
      </w:r>
      <w:r w:rsidR="00F11ADA">
        <w:rPr>
          <w:rFonts w:ascii="Arial" w:hAnsi="Arial" w:cs="Arial"/>
          <w:b/>
          <w:bCs/>
        </w:rPr>
        <w:t xml:space="preserve"> y ANS</w:t>
      </w:r>
    </w:p>
    <w:p w:rsidR="00534896" w:rsidP="00ED1D6F" w:rsidRDefault="00E217D9" w14:paraId="4BA2F75A" w14:textId="2863AB57">
      <w:pPr>
        <w:rPr>
          <w:rFonts w:ascii="Arial" w:hAnsi="Arial" w:cs="Arial"/>
        </w:rPr>
      </w:pPr>
      <w:r>
        <w:rPr>
          <w:rFonts w:ascii="Arial" w:hAnsi="Arial" w:cs="Arial"/>
        </w:rPr>
        <w:t>Atención 7*24 de requerimientos, cambios, incidentes de servicio e incidentes de ciberseguridad.</w:t>
      </w:r>
    </w:p>
    <w:p w:rsidR="00BE4097" w:rsidP="00BE4097" w:rsidRDefault="00BE4097" w14:paraId="292DFE51" w14:textId="00E953F5">
      <w:pPr>
        <w:jc w:val="both"/>
        <w:rPr>
          <w:rFonts w:ascii="Arial" w:hAnsi="Arial" w:cs="Arial"/>
        </w:rPr>
      </w:pPr>
      <w:r w:rsidRPr="00860D96">
        <w:rPr>
          <w:rFonts w:ascii="Arial" w:hAnsi="Arial" w:cs="Arial"/>
        </w:rPr>
        <w:t>El proveedor deberá contar con la infraestructura técnica y operativa necesaria para prestar un servicio 7X24 que reporte de manera oportuna los incidentes que se presenten. Deberá prestar atención telefónica y soporte en línea a través de la cual se podrá acceder a la información general del servicio en tiempo real. (acuerdos de niveles de servicio, estadísticas, anchos de banda, facturación, estado de fallas, entre otros).</w:t>
      </w:r>
    </w:p>
    <w:p w:rsidR="00F11ADA" w:rsidP="00F11ADA" w:rsidRDefault="00F11ADA" w14:paraId="1741F8F7" w14:textId="77777777">
      <w:pPr>
        <w:jc w:val="both"/>
        <w:rPr>
          <w:rFonts w:ascii="Arial" w:hAnsi="Arial" w:cs="Arial"/>
        </w:rPr>
      </w:pPr>
      <w:r w:rsidRPr="000208D3">
        <w:rPr>
          <w:rFonts w:ascii="Arial" w:hAnsi="Arial" w:cs="Arial"/>
        </w:rPr>
        <w:t>El proponente deberá presentar en su oferta los tiempos de respuesta para la atención de incidentes y los niveles de escalamiento correspondientes. El proponente que tenga un tiempo de atención de máximo 20 minutos y un tiempo de solución máximo de 4 horas en un incidente critico tendrá un puntaje de 100%. El proponente que tenga un tiempo mayor para atención y para solución de un incidente critico tendrá 0%, además, el Proponente deberá indicar las condiciones de la prestación del servicio.</w:t>
      </w:r>
    </w:p>
    <w:p w:rsidR="00F11ADA" w:rsidP="00F11ADA" w:rsidRDefault="00F11ADA" w14:paraId="58F8D280" w14:textId="10214FA8">
      <w:pPr>
        <w:jc w:val="both"/>
        <w:rPr>
          <w:rFonts w:ascii="Arial" w:hAnsi="Arial" w:cs="Arial"/>
        </w:rPr>
      </w:pPr>
      <w:r>
        <w:rPr>
          <w:rFonts w:ascii="Arial" w:hAnsi="Arial" w:cs="Arial"/>
        </w:rPr>
        <w:t>El incumplimiento en los ANS de disponibilidad de servicio generan un descuento en la facturación mensual del servicio de acuerdo con la siguiente tabla, tomando como referencia la disponibilidad del 99.6% de los canales MPLS, para el servicio de internet aplica el 99.8%</w:t>
      </w:r>
    </w:p>
    <w:p w:rsidR="00F11ADA" w:rsidP="00F11ADA" w:rsidRDefault="00F11ADA" w14:paraId="4C2656AC" w14:textId="77777777">
      <w:pPr>
        <w:jc w:val="both"/>
        <w:rPr>
          <w:rFonts w:ascii="Arial" w:hAnsi="Arial" w:cs="Arial"/>
        </w:rPr>
      </w:pPr>
      <w:r w:rsidRPr="00860D96">
        <w:rPr>
          <w:rFonts w:ascii="Arial" w:hAnsi="Arial" w:cs="Arial"/>
        </w:rPr>
        <w:t>El proveedor debe generar informes de disponibilidad mensual donde se evidenci</w:t>
      </w:r>
      <w:r>
        <w:rPr>
          <w:rFonts w:ascii="Arial" w:hAnsi="Arial" w:cs="Arial"/>
        </w:rPr>
        <w:t>e</w:t>
      </w:r>
      <w:r w:rsidRPr="00860D96">
        <w:rPr>
          <w:rFonts w:ascii="Arial" w:hAnsi="Arial" w:cs="Arial"/>
        </w:rPr>
        <w:t xml:space="preserve"> el cumplimiento de los ANS (Acuerdos de Niveles de Servicio), los incidentes de servicio</w:t>
      </w:r>
      <w:r>
        <w:rPr>
          <w:rFonts w:ascii="Arial" w:hAnsi="Arial" w:cs="Arial"/>
        </w:rPr>
        <w:t>,</w:t>
      </w:r>
      <w:r w:rsidRPr="00860D96">
        <w:rPr>
          <w:rFonts w:ascii="Arial" w:hAnsi="Arial" w:cs="Arial"/>
        </w:rPr>
        <w:t xml:space="preserve"> incidentes de ciberseguridad y requerimientos presentados en el periodo de tiempo anterior.</w:t>
      </w:r>
    </w:p>
    <w:p w:rsidRPr="00860D96" w:rsidR="00ED1D6F" w:rsidP="00ED1D6F" w:rsidRDefault="00ED1D6F" w14:paraId="4A7E955B" w14:textId="5677BD88">
      <w:pPr>
        <w:rPr>
          <w:rFonts w:ascii="Arial" w:hAnsi="Arial" w:cs="Arial"/>
          <w:b/>
          <w:bCs/>
        </w:rPr>
      </w:pPr>
      <w:r w:rsidRPr="00860D96">
        <w:rPr>
          <w:rFonts w:ascii="Arial" w:hAnsi="Arial" w:cs="Arial"/>
          <w:b/>
          <w:bCs/>
        </w:rPr>
        <w:t>Monitoreo y contro</w:t>
      </w:r>
      <w:r w:rsidR="00534896">
        <w:rPr>
          <w:rFonts w:ascii="Arial" w:hAnsi="Arial" w:cs="Arial"/>
          <w:b/>
          <w:bCs/>
        </w:rPr>
        <w:t>l</w:t>
      </w:r>
    </w:p>
    <w:p w:rsidRPr="00860D96" w:rsidR="00ED1D6F" w:rsidP="00ED1D6F" w:rsidRDefault="00ED1D6F" w14:paraId="753499A0" w14:textId="413E5C0A">
      <w:pPr>
        <w:jc w:val="both"/>
        <w:rPr>
          <w:rFonts w:ascii="Arial" w:hAnsi="Arial" w:cs="Arial"/>
        </w:rPr>
      </w:pPr>
      <w:r w:rsidRPr="00860D96">
        <w:rPr>
          <w:rFonts w:ascii="Arial" w:hAnsi="Arial" w:cs="Arial"/>
        </w:rPr>
        <w:t xml:space="preserve">La propuesta debe contemplar una herramienta que facilite el monitoreo de la red. Dicha herramienta deberá presentar los contenidos de tráfico históricos </w:t>
      </w:r>
      <w:r w:rsidRPr="00860D96" w:rsidR="001527C1">
        <w:rPr>
          <w:rFonts w:ascii="Arial" w:hAnsi="Arial" w:cs="Arial"/>
        </w:rPr>
        <w:t xml:space="preserve">y en tiempo </w:t>
      </w:r>
      <w:r w:rsidRPr="00860D96" w:rsidR="00BE325F">
        <w:rPr>
          <w:rFonts w:ascii="Arial" w:hAnsi="Arial" w:cs="Arial"/>
        </w:rPr>
        <w:t xml:space="preserve">real </w:t>
      </w:r>
      <w:r w:rsidRPr="00860D96">
        <w:rPr>
          <w:rFonts w:ascii="Arial" w:hAnsi="Arial" w:cs="Arial"/>
        </w:rPr>
        <w:t xml:space="preserve">de los canales </w:t>
      </w:r>
      <w:r w:rsidRPr="00860D96" w:rsidR="00BE325F">
        <w:rPr>
          <w:rFonts w:ascii="Arial" w:hAnsi="Arial" w:cs="Arial"/>
        </w:rPr>
        <w:t>contratados, ad</w:t>
      </w:r>
      <w:r w:rsidRPr="00860D96" w:rsidR="00286A63">
        <w:rPr>
          <w:rFonts w:ascii="Arial" w:hAnsi="Arial" w:cs="Arial"/>
        </w:rPr>
        <w:t xml:space="preserve">icionalmente, </w:t>
      </w:r>
      <w:r w:rsidRPr="00860D96">
        <w:rPr>
          <w:rFonts w:ascii="Arial" w:hAnsi="Arial" w:cs="Arial"/>
        </w:rPr>
        <w:t>deberá contar con las gráficas de tráfico por protocolo y aplicaciones. Indispensable presentar un ejemplo de estas.</w:t>
      </w:r>
    </w:p>
    <w:p w:rsidRPr="00860D96" w:rsidR="00170EA0" w:rsidP="00ED1D6F" w:rsidRDefault="00170EA0" w14:paraId="105DC5F2" w14:textId="3425789E">
      <w:pPr>
        <w:jc w:val="both"/>
        <w:rPr>
          <w:rFonts w:ascii="Arial" w:hAnsi="Arial" w:cs="Arial"/>
        </w:rPr>
      </w:pPr>
      <w:r w:rsidRPr="00860D96">
        <w:rPr>
          <w:rFonts w:ascii="Arial" w:hAnsi="Arial" w:cs="Arial"/>
        </w:rPr>
        <w:t xml:space="preserve">El acceso a la plataforma deberá ser exclusivo para Bancoldex </w:t>
      </w:r>
      <w:r w:rsidRPr="00860D96" w:rsidR="00585096">
        <w:rPr>
          <w:rFonts w:ascii="Arial" w:hAnsi="Arial" w:cs="Arial"/>
        </w:rPr>
        <w:t xml:space="preserve">y se debe garantizar </w:t>
      </w:r>
      <w:r w:rsidRPr="00860D96" w:rsidR="001C2E37">
        <w:rPr>
          <w:rFonts w:ascii="Arial" w:hAnsi="Arial" w:cs="Arial"/>
        </w:rPr>
        <w:t>que sea de forma segura.</w:t>
      </w:r>
    </w:p>
    <w:p w:rsidR="00006AD2" w:rsidP="00ED1D6F" w:rsidRDefault="00006AD2" w14:paraId="51DDF288" w14:textId="4AAE3A26">
      <w:pPr>
        <w:jc w:val="both"/>
        <w:rPr>
          <w:rFonts w:ascii="Arial" w:hAnsi="Arial" w:cs="Arial"/>
        </w:rPr>
      </w:pPr>
    </w:p>
    <w:p w:rsidR="00006AD2" w:rsidP="00802D77" w:rsidRDefault="00006AD2" w14:paraId="18F9AF7B" w14:textId="752C8D2C">
      <w:pPr>
        <w:jc w:val="center"/>
        <w:rPr>
          <w:rFonts w:ascii="Arial" w:hAnsi="Arial" w:cs="Arial"/>
        </w:rPr>
      </w:pPr>
      <w:r>
        <w:rPr>
          <w:noProof/>
        </w:rPr>
        <w:lastRenderedPageBreak/>
        <w:drawing>
          <wp:inline distT="0" distB="0" distL="0" distR="0" wp14:anchorId="0A6031D9" wp14:editId="3048B56F">
            <wp:extent cx="5612130" cy="2007235"/>
            <wp:effectExtent l="0" t="0" r="762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10"/>
                    <a:stretch>
                      <a:fillRect/>
                    </a:stretch>
                  </pic:blipFill>
                  <pic:spPr>
                    <a:xfrm>
                      <a:off x="0" y="0"/>
                      <a:ext cx="5612130" cy="2007235"/>
                    </a:xfrm>
                    <a:prstGeom prst="rect">
                      <a:avLst/>
                    </a:prstGeom>
                  </pic:spPr>
                </pic:pic>
              </a:graphicData>
            </a:graphic>
          </wp:inline>
        </w:drawing>
      </w:r>
    </w:p>
    <w:p w:rsidRPr="00860D96" w:rsidR="00F748F4" w:rsidP="00F748F4" w:rsidRDefault="00F11ADA" w14:paraId="4930C7BF" w14:textId="10EBF5A0">
      <w:pPr>
        <w:rPr>
          <w:rFonts w:ascii="Arial" w:hAnsi="Arial" w:cs="Arial"/>
        </w:rPr>
      </w:pPr>
      <w:r>
        <w:rPr>
          <w:rFonts w:ascii="Arial" w:hAnsi="Arial" w:cs="Arial"/>
        </w:rPr>
        <w:t>La disponibilidad de los servicios debe</w:t>
      </w:r>
      <w:r w:rsidR="00B054C7">
        <w:rPr>
          <w:rFonts w:ascii="Arial" w:hAnsi="Arial" w:cs="Arial"/>
        </w:rPr>
        <w:t>n</w:t>
      </w:r>
      <w:r w:rsidR="00F748F4">
        <w:rPr>
          <w:rFonts w:ascii="Arial" w:hAnsi="Arial" w:cs="Arial"/>
        </w:rPr>
        <w:t xml:space="preserve"> </w:t>
      </w:r>
      <w:r w:rsidR="000A4193">
        <w:rPr>
          <w:rFonts w:ascii="Arial" w:hAnsi="Arial" w:cs="Arial"/>
        </w:rPr>
        <w:t>estar soportados por informes de operación mensual.</w:t>
      </w:r>
    </w:p>
    <w:p w:rsidRPr="00860D96" w:rsidR="00ED1D6F" w:rsidP="00ED1D6F" w:rsidRDefault="00ED1D6F" w14:paraId="6C27057A" w14:textId="77777777">
      <w:pPr>
        <w:jc w:val="both"/>
        <w:rPr>
          <w:rFonts w:ascii="Arial" w:hAnsi="Arial" w:cs="Arial"/>
        </w:rPr>
      </w:pPr>
      <w:r w:rsidRPr="00860D96">
        <w:rPr>
          <w:rFonts w:ascii="Arial" w:hAnsi="Arial" w:cs="Arial"/>
        </w:rPr>
        <w:t>La facturación del servicio deberá presentarse de manera unificada, desglosando cada uno de los ítems que componen la solución de conectividad nacional. Entregar ejemplo de la facturación.</w:t>
      </w:r>
    </w:p>
    <w:p w:rsidRPr="00860D96" w:rsidR="00ED1D6F" w:rsidP="00ED1D6F" w:rsidRDefault="00ED1D6F" w14:paraId="300A1747" w14:textId="77777777">
      <w:pPr>
        <w:jc w:val="both"/>
        <w:rPr>
          <w:rFonts w:ascii="Arial" w:hAnsi="Arial" w:cs="Arial"/>
          <w:b/>
          <w:bCs/>
        </w:rPr>
      </w:pPr>
      <w:r w:rsidRPr="00860D96">
        <w:rPr>
          <w:rFonts w:ascii="Arial" w:hAnsi="Arial" w:cs="Arial"/>
          <w:b/>
          <w:bCs/>
        </w:rPr>
        <w:t>Instalación y aprovisionamiento</w:t>
      </w:r>
    </w:p>
    <w:p w:rsidRPr="00860D96" w:rsidR="00ED1D6F" w:rsidP="00ED1D6F" w:rsidRDefault="00ED1D6F" w14:paraId="0E2BBF4F" w14:textId="77777777">
      <w:pPr>
        <w:jc w:val="both"/>
        <w:rPr>
          <w:rFonts w:ascii="Arial" w:hAnsi="Arial" w:cs="Arial"/>
        </w:rPr>
      </w:pPr>
      <w:r w:rsidRPr="00860D96">
        <w:rPr>
          <w:rFonts w:ascii="Arial" w:hAnsi="Arial" w:cs="Arial"/>
        </w:rPr>
        <w:t>Durante los procesos de instalación el manejo de los equipos, materiales, elementos, almacenamiento, control de los materiales en la obra, incluyendo cargue, transporte, descargue y retiro de sobrantes, suministro e instalación de los elementos y materiales asociados a la instalación de esta red como son las canaletas, tuberías, cajas de paso, ductos, amarres, soportes, marquillas y demás accesorios de instalación y marcación serán total responsabilidad del proponente.</w:t>
      </w:r>
    </w:p>
    <w:sectPr w:rsidRPr="00860D96" w:rsidR="00ED1D6F">
      <w:head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F82" w:rsidP="00332E9A" w:rsidRDefault="00DC6F82" w14:paraId="164A21B9" w14:textId="77777777">
      <w:pPr>
        <w:spacing w:after="0" w:line="240" w:lineRule="auto"/>
      </w:pPr>
      <w:r>
        <w:separator/>
      </w:r>
    </w:p>
  </w:endnote>
  <w:endnote w:type="continuationSeparator" w:id="0">
    <w:p w:rsidR="00DC6F82" w:rsidP="00332E9A" w:rsidRDefault="00DC6F82" w14:paraId="529A59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F82" w:rsidP="00332E9A" w:rsidRDefault="00DC6F82" w14:paraId="205823CA" w14:textId="77777777">
      <w:pPr>
        <w:spacing w:after="0" w:line="240" w:lineRule="auto"/>
      </w:pPr>
      <w:r>
        <w:separator/>
      </w:r>
    </w:p>
  </w:footnote>
  <w:footnote w:type="continuationSeparator" w:id="0">
    <w:p w:rsidR="00DC6F82" w:rsidP="00332E9A" w:rsidRDefault="00DC6F82" w14:paraId="71AC79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2E9A" w:rsidP="00332E9A" w:rsidRDefault="00332E9A" w14:paraId="1B58E52A" w14:textId="74FB6FAE">
    <w:pPr>
      <w:pStyle w:val="Encabezado"/>
      <w:jc w:val="right"/>
    </w:pPr>
    <w:r>
      <w:rPr>
        <w:noProof/>
      </w:rPr>
      <w:drawing>
        <wp:inline distT="0" distB="0" distL="0" distR="0" wp14:anchorId="6CF861FD" wp14:editId="0FD429D0">
          <wp:extent cx="2046474" cy="442709"/>
          <wp:effectExtent l="0" t="0" r="0" b="0"/>
          <wp:docPr id="1" name="Imagen 1" descr="El banco colombiano Bancoldex renueva su imagen corporativa | Brandemi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banco colombiano Bancoldex renueva su imagen corporativa | Brandemia_"/>
                  <pic:cNvPicPr>
                    <a:picLocks noChangeAspect="1" noChangeArrowheads="1"/>
                  </pic:cNvPicPr>
                </pic:nvPicPr>
                <pic:blipFill rotWithShape="1">
                  <a:blip r:embed="rId1">
                    <a:extLst>
                      <a:ext uri="{28A0092B-C50C-407E-A947-70E740481C1C}">
                        <a14:useLocalDpi xmlns:a14="http://schemas.microsoft.com/office/drawing/2010/main" val="0"/>
                      </a:ext>
                    </a:extLst>
                  </a:blip>
                  <a:srcRect t="36641" b="33657"/>
                  <a:stretch/>
                </pic:blipFill>
                <pic:spPr bwMode="auto">
                  <a:xfrm>
                    <a:off x="0" y="0"/>
                    <a:ext cx="2092319" cy="4526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B714F12B"/>
    <w:multiLevelType w:val="hybridMultilevel"/>
    <w:tmpl w:val="2620E4B7"/>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03790"/>
    <w:multiLevelType w:val="multilevel"/>
    <w:tmpl w:val="9608219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D6FF6"/>
    <w:multiLevelType w:val="multilevel"/>
    <w:tmpl w:val="DC00708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A6638"/>
    <w:multiLevelType w:val="hybridMultilevel"/>
    <w:tmpl w:val="6CB4D5D2"/>
    <w:lvl w:ilvl="0" w:tplc="A6CEB432">
      <w:start w:val="2"/>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96F302A"/>
    <w:multiLevelType w:val="hybridMultilevel"/>
    <w:tmpl w:val="E3DC16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36F35170"/>
    <w:multiLevelType w:val="multilevel"/>
    <w:tmpl w:val="C7EC5CA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321900"/>
    <w:multiLevelType w:val="hybridMultilevel"/>
    <w:tmpl w:val="42728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C47A4D"/>
    <w:multiLevelType w:val="hybridMultilevel"/>
    <w:tmpl w:val="E6E80C92"/>
    <w:lvl w:ilvl="0" w:tplc="EFB243F8">
      <w:start w:val="1"/>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915017B"/>
    <w:multiLevelType w:val="hybridMultilevel"/>
    <w:tmpl w:val="10CCC110"/>
    <w:lvl w:ilvl="0" w:tplc="14D811D2">
      <w:start w:val="1"/>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4E4F03A2"/>
    <w:multiLevelType w:val="hybridMultilevel"/>
    <w:tmpl w:val="61AEBB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1159EA"/>
    <w:multiLevelType w:val="hybridMultilevel"/>
    <w:tmpl w:val="31F01924"/>
    <w:lvl w:ilvl="0" w:tplc="A950E498">
      <w:start w:val="2"/>
      <w:numFmt w:val="bullet"/>
      <w:lvlText w:val=""/>
      <w:lvlJc w:val="left"/>
      <w:pPr>
        <w:ind w:left="720" w:hanging="360"/>
      </w:pPr>
      <w:rPr>
        <w:rFonts w:hint="default" w:ascii="Symbol" w:hAnsi="Symbol"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71DCE3F1"/>
    <w:multiLevelType w:val="hybridMultilevel"/>
    <w:tmpl w:val="368002D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4">
    <w:abstractNumId w:val="13"/>
  </w:num>
  <w:num w:numId="13">
    <w:abstractNumId w:val="12"/>
  </w:num>
  <w:num w:numId="1">
    <w:abstractNumId w:val="5"/>
  </w:num>
  <w:num w:numId="2">
    <w:abstractNumId w:val="9"/>
  </w:num>
  <w:num w:numId="3">
    <w:abstractNumId w:val="7"/>
  </w:num>
  <w:num w:numId="4">
    <w:abstractNumId w:val="11"/>
  </w:num>
  <w:num w:numId="5">
    <w:abstractNumId w:val="0"/>
  </w:num>
  <w:num w:numId="6">
    <w:abstractNumId w:val="3"/>
  </w:num>
  <w:num w:numId="7">
    <w:abstractNumId w:val="10"/>
  </w:num>
  <w:num w:numId="8">
    <w:abstractNumId w:val="4"/>
  </w:num>
  <w:num w:numId="9">
    <w:abstractNumId w:val="8"/>
  </w:num>
  <w:num w:numId="10">
    <w:abstractNumId w:val="1"/>
  </w:num>
  <w:num w:numId="11">
    <w:abstractNumId w:val="2"/>
  </w:num>
  <w:num w:numId="1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81"/>
    <w:rsid w:val="00001BA5"/>
    <w:rsid w:val="00002F4D"/>
    <w:rsid w:val="00005E2C"/>
    <w:rsid w:val="00006AD2"/>
    <w:rsid w:val="000208D3"/>
    <w:rsid w:val="0004358B"/>
    <w:rsid w:val="00047ECD"/>
    <w:rsid w:val="000547DA"/>
    <w:rsid w:val="000553AF"/>
    <w:rsid w:val="00066626"/>
    <w:rsid w:val="00075605"/>
    <w:rsid w:val="000900EA"/>
    <w:rsid w:val="000A4193"/>
    <w:rsid w:val="000B5A3C"/>
    <w:rsid w:val="000C1D5A"/>
    <w:rsid w:val="000C754B"/>
    <w:rsid w:val="000D08DD"/>
    <w:rsid w:val="000D5011"/>
    <w:rsid w:val="000D60AA"/>
    <w:rsid w:val="000E07B9"/>
    <w:rsid w:val="000E5F5D"/>
    <w:rsid w:val="000F0135"/>
    <w:rsid w:val="000F0F26"/>
    <w:rsid w:val="0010173A"/>
    <w:rsid w:val="00132E3B"/>
    <w:rsid w:val="00137234"/>
    <w:rsid w:val="00146FE4"/>
    <w:rsid w:val="001527C1"/>
    <w:rsid w:val="00170EA0"/>
    <w:rsid w:val="00183520"/>
    <w:rsid w:val="00194264"/>
    <w:rsid w:val="00194F09"/>
    <w:rsid w:val="001C2108"/>
    <w:rsid w:val="001C2E37"/>
    <w:rsid w:val="001E3282"/>
    <w:rsid w:val="00201DC7"/>
    <w:rsid w:val="0020202A"/>
    <w:rsid w:val="00225877"/>
    <w:rsid w:val="00227C1B"/>
    <w:rsid w:val="0023122E"/>
    <w:rsid w:val="0024155F"/>
    <w:rsid w:val="002423C4"/>
    <w:rsid w:val="0025226A"/>
    <w:rsid w:val="002540DF"/>
    <w:rsid w:val="00263B03"/>
    <w:rsid w:val="00273764"/>
    <w:rsid w:val="00286A63"/>
    <w:rsid w:val="00291F88"/>
    <w:rsid w:val="00293C0B"/>
    <w:rsid w:val="00297168"/>
    <w:rsid w:val="002A3BDA"/>
    <w:rsid w:val="002B1D03"/>
    <w:rsid w:val="002B3575"/>
    <w:rsid w:val="002C37C1"/>
    <w:rsid w:val="002E1E1B"/>
    <w:rsid w:val="003037DA"/>
    <w:rsid w:val="0032528C"/>
    <w:rsid w:val="00332E9A"/>
    <w:rsid w:val="00335608"/>
    <w:rsid w:val="00357807"/>
    <w:rsid w:val="0038138B"/>
    <w:rsid w:val="00384BB0"/>
    <w:rsid w:val="003A0C2E"/>
    <w:rsid w:val="003A589E"/>
    <w:rsid w:val="003C0C29"/>
    <w:rsid w:val="003C1B7C"/>
    <w:rsid w:val="004040E3"/>
    <w:rsid w:val="00420B9A"/>
    <w:rsid w:val="00427BEF"/>
    <w:rsid w:val="004327EB"/>
    <w:rsid w:val="00432D01"/>
    <w:rsid w:val="004353E1"/>
    <w:rsid w:val="00447022"/>
    <w:rsid w:val="004563A2"/>
    <w:rsid w:val="004655A1"/>
    <w:rsid w:val="004704B6"/>
    <w:rsid w:val="00474F06"/>
    <w:rsid w:val="004939CA"/>
    <w:rsid w:val="00493AB9"/>
    <w:rsid w:val="00494C8C"/>
    <w:rsid w:val="004A7BFD"/>
    <w:rsid w:val="004B5687"/>
    <w:rsid w:val="004C3D9D"/>
    <w:rsid w:val="004C6316"/>
    <w:rsid w:val="004D0683"/>
    <w:rsid w:val="004D18FF"/>
    <w:rsid w:val="004D6FA1"/>
    <w:rsid w:val="004E151E"/>
    <w:rsid w:val="004E7B74"/>
    <w:rsid w:val="005228B1"/>
    <w:rsid w:val="00524F29"/>
    <w:rsid w:val="00530FED"/>
    <w:rsid w:val="00534896"/>
    <w:rsid w:val="005548BD"/>
    <w:rsid w:val="005564AB"/>
    <w:rsid w:val="005573EC"/>
    <w:rsid w:val="0056053D"/>
    <w:rsid w:val="00560AC6"/>
    <w:rsid w:val="00570598"/>
    <w:rsid w:val="00571CE8"/>
    <w:rsid w:val="005814BF"/>
    <w:rsid w:val="00585096"/>
    <w:rsid w:val="00591435"/>
    <w:rsid w:val="005A5B79"/>
    <w:rsid w:val="005C6A3B"/>
    <w:rsid w:val="005E304F"/>
    <w:rsid w:val="00606887"/>
    <w:rsid w:val="00637FCB"/>
    <w:rsid w:val="00644F72"/>
    <w:rsid w:val="00660EBF"/>
    <w:rsid w:val="00671953"/>
    <w:rsid w:val="00681CE0"/>
    <w:rsid w:val="00684BDC"/>
    <w:rsid w:val="006900F9"/>
    <w:rsid w:val="0069373D"/>
    <w:rsid w:val="006944C4"/>
    <w:rsid w:val="006A1648"/>
    <w:rsid w:val="006C5103"/>
    <w:rsid w:val="006D0067"/>
    <w:rsid w:val="006D06F8"/>
    <w:rsid w:val="006D38F6"/>
    <w:rsid w:val="006F4F87"/>
    <w:rsid w:val="00702E17"/>
    <w:rsid w:val="007158BB"/>
    <w:rsid w:val="00721D34"/>
    <w:rsid w:val="00740227"/>
    <w:rsid w:val="007506B2"/>
    <w:rsid w:val="00761F1F"/>
    <w:rsid w:val="00763548"/>
    <w:rsid w:val="00765249"/>
    <w:rsid w:val="00770D47"/>
    <w:rsid w:val="0077648D"/>
    <w:rsid w:val="00776A50"/>
    <w:rsid w:val="0078766F"/>
    <w:rsid w:val="007902CD"/>
    <w:rsid w:val="00797F4F"/>
    <w:rsid w:val="007B3D92"/>
    <w:rsid w:val="007D14EB"/>
    <w:rsid w:val="007D5B54"/>
    <w:rsid w:val="007F5E23"/>
    <w:rsid w:val="007F778F"/>
    <w:rsid w:val="00802D77"/>
    <w:rsid w:val="00811439"/>
    <w:rsid w:val="008237F8"/>
    <w:rsid w:val="008301EC"/>
    <w:rsid w:val="0084529A"/>
    <w:rsid w:val="00847C92"/>
    <w:rsid w:val="00854BBA"/>
    <w:rsid w:val="00860D96"/>
    <w:rsid w:val="00863892"/>
    <w:rsid w:val="00865C9C"/>
    <w:rsid w:val="00880F0E"/>
    <w:rsid w:val="008A21B7"/>
    <w:rsid w:val="008B6063"/>
    <w:rsid w:val="008D0C01"/>
    <w:rsid w:val="00900510"/>
    <w:rsid w:val="009126C9"/>
    <w:rsid w:val="00912776"/>
    <w:rsid w:val="00923082"/>
    <w:rsid w:val="00935985"/>
    <w:rsid w:val="00943899"/>
    <w:rsid w:val="009467AE"/>
    <w:rsid w:val="00955664"/>
    <w:rsid w:val="00986F8F"/>
    <w:rsid w:val="00990F09"/>
    <w:rsid w:val="00995E00"/>
    <w:rsid w:val="009A44D1"/>
    <w:rsid w:val="009A5912"/>
    <w:rsid w:val="009B37FD"/>
    <w:rsid w:val="009B471C"/>
    <w:rsid w:val="009B6A04"/>
    <w:rsid w:val="009C730A"/>
    <w:rsid w:val="009D1798"/>
    <w:rsid w:val="009E1955"/>
    <w:rsid w:val="009F0C5C"/>
    <w:rsid w:val="009F7D1E"/>
    <w:rsid w:val="00A3578E"/>
    <w:rsid w:val="00A35B85"/>
    <w:rsid w:val="00A41502"/>
    <w:rsid w:val="00A52A37"/>
    <w:rsid w:val="00A52FF6"/>
    <w:rsid w:val="00A63F5E"/>
    <w:rsid w:val="00A86AC3"/>
    <w:rsid w:val="00A93D5E"/>
    <w:rsid w:val="00AB6208"/>
    <w:rsid w:val="00AC3466"/>
    <w:rsid w:val="00AE435A"/>
    <w:rsid w:val="00AF1377"/>
    <w:rsid w:val="00B054C7"/>
    <w:rsid w:val="00B0646B"/>
    <w:rsid w:val="00B06BBB"/>
    <w:rsid w:val="00B126CD"/>
    <w:rsid w:val="00B245C9"/>
    <w:rsid w:val="00B301DE"/>
    <w:rsid w:val="00B40269"/>
    <w:rsid w:val="00B4043B"/>
    <w:rsid w:val="00B40FE8"/>
    <w:rsid w:val="00B528D6"/>
    <w:rsid w:val="00B52B17"/>
    <w:rsid w:val="00B60EDA"/>
    <w:rsid w:val="00B7755A"/>
    <w:rsid w:val="00B84F96"/>
    <w:rsid w:val="00B867F9"/>
    <w:rsid w:val="00B91AE4"/>
    <w:rsid w:val="00B97856"/>
    <w:rsid w:val="00BB09E8"/>
    <w:rsid w:val="00BE325F"/>
    <w:rsid w:val="00BE3D28"/>
    <w:rsid w:val="00BE4097"/>
    <w:rsid w:val="00BF150F"/>
    <w:rsid w:val="00C0121C"/>
    <w:rsid w:val="00C07344"/>
    <w:rsid w:val="00C12D85"/>
    <w:rsid w:val="00C2180A"/>
    <w:rsid w:val="00C259BF"/>
    <w:rsid w:val="00C27111"/>
    <w:rsid w:val="00C366E2"/>
    <w:rsid w:val="00C42825"/>
    <w:rsid w:val="00C43C7A"/>
    <w:rsid w:val="00C74D90"/>
    <w:rsid w:val="00C77BCE"/>
    <w:rsid w:val="00C81127"/>
    <w:rsid w:val="00C82D27"/>
    <w:rsid w:val="00C913D5"/>
    <w:rsid w:val="00C92739"/>
    <w:rsid w:val="00C97302"/>
    <w:rsid w:val="00C97AC5"/>
    <w:rsid w:val="00C97EF5"/>
    <w:rsid w:val="00CA02B1"/>
    <w:rsid w:val="00CA2749"/>
    <w:rsid w:val="00CC0971"/>
    <w:rsid w:val="00CE082B"/>
    <w:rsid w:val="00CE1846"/>
    <w:rsid w:val="00D01F53"/>
    <w:rsid w:val="00D024B9"/>
    <w:rsid w:val="00D24895"/>
    <w:rsid w:val="00D265BD"/>
    <w:rsid w:val="00D2672B"/>
    <w:rsid w:val="00D45A54"/>
    <w:rsid w:val="00D66424"/>
    <w:rsid w:val="00D67A88"/>
    <w:rsid w:val="00D745D8"/>
    <w:rsid w:val="00D82BF1"/>
    <w:rsid w:val="00DA4873"/>
    <w:rsid w:val="00DC1099"/>
    <w:rsid w:val="00DC6F82"/>
    <w:rsid w:val="00DD13C3"/>
    <w:rsid w:val="00DD4D0C"/>
    <w:rsid w:val="00DD74FD"/>
    <w:rsid w:val="00DE419E"/>
    <w:rsid w:val="00DE6202"/>
    <w:rsid w:val="00DF3492"/>
    <w:rsid w:val="00DF79C3"/>
    <w:rsid w:val="00E12E58"/>
    <w:rsid w:val="00E217D9"/>
    <w:rsid w:val="00E45BA0"/>
    <w:rsid w:val="00E52035"/>
    <w:rsid w:val="00E57181"/>
    <w:rsid w:val="00E57F52"/>
    <w:rsid w:val="00E82834"/>
    <w:rsid w:val="00E82E53"/>
    <w:rsid w:val="00EA2A42"/>
    <w:rsid w:val="00EA2D05"/>
    <w:rsid w:val="00EA496C"/>
    <w:rsid w:val="00EA7CD8"/>
    <w:rsid w:val="00EB0684"/>
    <w:rsid w:val="00EC3E1A"/>
    <w:rsid w:val="00EC5862"/>
    <w:rsid w:val="00EC7235"/>
    <w:rsid w:val="00ED1D6F"/>
    <w:rsid w:val="00EE1540"/>
    <w:rsid w:val="00EF7F42"/>
    <w:rsid w:val="00F02EED"/>
    <w:rsid w:val="00F06094"/>
    <w:rsid w:val="00F11ADA"/>
    <w:rsid w:val="00F25009"/>
    <w:rsid w:val="00F335FA"/>
    <w:rsid w:val="00F345E7"/>
    <w:rsid w:val="00F417AE"/>
    <w:rsid w:val="00F445A7"/>
    <w:rsid w:val="00F51B92"/>
    <w:rsid w:val="00F5345B"/>
    <w:rsid w:val="00F54A80"/>
    <w:rsid w:val="00F622DC"/>
    <w:rsid w:val="00F64364"/>
    <w:rsid w:val="00F67DA9"/>
    <w:rsid w:val="00F748F4"/>
    <w:rsid w:val="00F97553"/>
    <w:rsid w:val="00FB1E3D"/>
    <w:rsid w:val="00FC6B8B"/>
    <w:rsid w:val="00FD6101"/>
    <w:rsid w:val="00FF2BC6"/>
    <w:rsid w:val="18ABE54F"/>
    <w:rsid w:val="34168C7D"/>
    <w:rsid w:val="66584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BC6B"/>
  <w15:chartTrackingRefBased/>
  <w15:docId w15:val="{09550714-620C-4680-A972-DE7721A61E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rsid w:val="00E57181"/>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9F0C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7902CD"/>
    <w:rPr>
      <w:sz w:val="16"/>
      <w:szCs w:val="16"/>
    </w:rPr>
  </w:style>
  <w:style w:type="paragraph" w:styleId="Textocomentario">
    <w:name w:val="annotation text"/>
    <w:basedOn w:val="Normal"/>
    <w:link w:val="TextocomentarioCar"/>
    <w:uiPriority w:val="99"/>
    <w:semiHidden/>
    <w:unhideWhenUsed/>
    <w:rsid w:val="007902CD"/>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902CD"/>
    <w:rPr>
      <w:sz w:val="20"/>
      <w:szCs w:val="20"/>
    </w:rPr>
  </w:style>
  <w:style w:type="paragraph" w:styleId="Asuntodelcomentario">
    <w:name w:val="annotation subject"/>
    <w:basedOn w:val="Textocomentario"/>
    <w:next w:val="Textocomentario"/>
    <w:link w:val="AsuntodelcomentarioCar"/>
    <w:uiPriority w:val="99"/>
    <w:semiHidden/>
    <w:unhideWhenUsed/>
    <w:rsid w:val="007902CD"/>
    <w:rPr>
      <w:b/>
      <w:bCs/>
    </w:rPr>
  </w:style>
  <w:style w:type="character" w:styleId="AsuntodelcomentarioCar" w:customStyle="1">
    <w:name w:val="Asunto del comentario Car"/>
    <w:basedOn w:val="TextocomentarioCar"/>
    <w:link w:val="Asuntodelcomentario"/>
    <w:uiPriority w:val="99"/>
    <w:semiHidden/>
    <w:rsid w:val="007902CD"/>
    <w:rPr>
      <w:b/>
      <w:bCs/>
      <w:sz w:val="20"/>
      <w:szCs w:val="20"/>
    </w:rPr>
  </w:style>
  <w:style w:type="paragraph" w:styleId="Encabezado">
    <w:name w:val="header"/>
    <w:basedOn w:val="Normal"/>
    <w:link w:val="EncabezadoCar"/>
    <w:uiPriority w:val="99"/>
    <w:unhideWhenUsed/>
    <w:rsid w:val="00332E9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32E9A"/>
  </w:style>
  <w:style w:type="paragraph" w:styleId="Piedepgina">
    <w:name w:val="footer"/>
    <w:basedOn w:val="Normal"/>
    <w:link w:val="PiedepginaCar"/>
    <w:uiPriority w:val="99"/>
    <w:unhideWhenUsed/>
    <w:rsid w:val="00332E9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32E9A"/>
  </w:style>
  <w:style w:type="character" w:styleId="Hipervnculo">
    <w:name w:val="Hyperlink"/>
    <w:basedOn w:val="Fuentedeprrafopredeter"/>
    <w:uiPriority w:val="99"/>
    <w:unhideWhenUsed/>
    <w:rsid w:val="00F06094"/>
    <w:rPr>
      <w:color w:val="0563C1" w:themeColor="hyperlink"/>
      <w:u w:val="single"/>
    </w:rPr>
  </w:style>
  <w:style w:type="character" w:styleId="Mencinsinresolver">
    <w:name w:val="Unresolved Mention"/>
    <w:basedOn w:val="Fuentedeprrafopredeter"/>
    <w:uiPriority w:val="99"/>
    <w:semiHidden/>
    <w:unhideWhenUsed/>
    <w:rsid w:val="00F06094"/>
    <w:rPr>
      <w:color w:val="605E5C"/>
      <w:shd w:val="clear" w:color="auto" w:fill="E1DFDD"/>
    </w:rPr>
  </w:style>
  <w:style w:type="paragraph" w:styleId="Prrafodelista">
    <w:name w:val="List Paragraph"/>
    <w:basedOn w:val="Normal"/>
    <w:uiPriority w:val="34"/>
    <w:qFormat/>
    <w:rsid w:val="00AB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6109">
      <w:bodyDiv w:val="1"/>
      <w:marLeft w:val="0"/>
      <w:marRight w:val="0"/>
      <w:marTop w:val="0"/>
      <w:marBottom w:val="0"/>
      <w:divBdr>
        <w:top w:val="none" w:sz="0" w:space="0" w:color="auto"/>
        <w:left w:val="none" w:sz="0" w:space="0" w:color="auto"/>
        <w:bottom w:val="none" w:sz="0" w:space="0" w:color="auto"/>
        <w:right w:val="none" w:sz="0" w:space="0" w:color="auto"/>
      </w:divBdr>
    </w:div>
    <w:div w:id="233860820">
      <w:bodyDiv w:val="1"/>
      <w:marLeft w:val="0"/>
      <w:marRight w:val="0"/>
      <w:marTop w:val="0"/>
      <w:marBottom w:val="0"/>
      <w:divBdr>
        <w:top w:val="none" w:sz="0" w:space="0" w:color="auto"/>
        <w:left w:val="none" w:sz="0" w:space="0" w:color="auto"/>
        <w:bottom w:val="none" w:sz="0" w:space="0" w:color="auto"/>
        <w:right w:val="none" w:sz="0" w:space="0" w:color="auto"/>
      </w:divBdr>
    </w:div>
    <w:div w:id="533007364">
      <w:bodyDiv w:val="1"/>
      <w:marLeft w:val="0"/>
      <w:marRight w:val="0"/>
      <w:marTop w:val="0"/>
      <w:marBottom w:val="0"/>
      <w:divBdr>
        <w:top w:val="none" w:sz="0" w:space="0" w:color="auto"/>
        <w:left w:val="none" w:sz="0" w:space="0" w:color="auto"/>
        <w:bottom w:val="none" w:sz="0" w:space="0" w:color="auto"/>
        <w:right w:val="none" w:sz="0" w:space="0" w:color="auto"/>
      </w:divBdr>
      <w:divsChild>
        <w:div w:id="1626811646">
          <w:marLeft w:val="0"/>
          <w:marRight w:val="0"/>
          <w:marTop w:val="0"/>
          <w:marBottom w:val="0"/>
          <w:divBdr>
            <w:top w:val="none" w:sz="0" w:space="0" w:color="auto"/>
            <w:left w:val="none" w:sz="0" w:space="0" w:color="auto"/>
            <w:bottom w:val="none" w:sz="0" w:space="0" w:color="auto"/>
            <w:right w:val="none" w:sz="0" w:space="0" w:color="auto"/>
          </w:divBdr>
        </w:div>
      </w:divsChild>
    </w:div>
    <w:div w:id="9325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25f499f4-089f-4930-8175-746b7fd6085a">
      <Terms xmlns="http://schemas.microsoft.com/office/infopath/2007/PartnerControls"/>
    </lcf76f155ced4ddcb4097134ff3c332f>
    <TaxCatchAll xmlns="90b37cf6-f188-4ae6-a142-07385f5803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8FBAFD73FC0944C902E25A6F207FC27" ma:contentTypeVersion="16" ma:contentTypeDescription="Crear nuevo documento." ma:contentTypeScope="" ma:versionID="c4675747e23902c7e5f2541d87dff76e">
  <xsd:schema xmlns:xsd="http://www.w3.org/2001/XMLSchema" xmlns:xs="http://www.w3.org/2001/XMLSchema" xmlns:p="http://schemas.microsoft.com/office/2006/metadata/properties" xmlns:ns1="http://schemas.microsoft.com/sharepoint/v3" xmlns:ns2="25f499f4-089f-4930-8175-746b7fd6085a" xmlns:ns3="90b37cf6-f188-4ae6-a142-07385f5803c4" targetNamespace="http://schemas.microsoft.com/office/2006/metadata/properties" ma:root="true" ma:fieldsID="8de974a0c3ab57ee6e1a633216d0cfff" ns1:_="" ns2:_="" ns3:_="">
    <xsd:import namespace="http://schemas.microsoft.com/sharepoint/v3"/>
    <xsd:import namespace="25f499f4-089f-4930-8175-746b7fd6085a"/>
    <xsd:import namespace="90b37cf6-f188-4ae6-a142-07385f5803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499f4-089f-4930-8175-746b7fd60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b37cf6-f188-4ae6-a142-07385f5803c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c5f4eb7-931d-4e4f-a357-9e9099e51460}" ma:internalName="TaxCatchAll" ma:showField="CatchAllData" ma:web="90b37cf6-f188-4ae6-a142-07385f580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D5A87-266D-4AEB-B3BF-60B35B4A1541}">
  <ds:schemaRefs>
    <ds:schemaRef ds:uri="http://schemas.microsoft.com/office/2006/metadata/properties"/>
    <ds:schemaRef ds:uri="http://schemas.microsoft.com/office/infopath/2007/PartnerControls"/>
    <ds:schemaRef ds:uri="http://schemas.microsoft.com/sharepoint/v3"/>
    <ds:schemaRef ds:uri="25f499f4-089f-4930-8175-746b7fd6085a"/>
    <ds:schemaRef ds:uri="90b37cf6-f188-4ae6-a142-07385f5803c4"/>
  </ds:schemaRefs>
</ds:datastoreItem>
</file>

<file path=customXml/itemProps2.xml><?xml version="1.0" encoding="utf-8"?>
<ds:datastoreItem xmlns:ds="http://schemas.openxmlformats.org/officeDocument/2006/customXml" ds:itemID="{7E7AB6ED-BFE1-4298-940C-FD10E188E953}">
  <ds:schemaRefs>
    <ds:schemaRef ds:uri="http://schemas.microsoft.com/sharepoint/v3/contenttype/forms"/>
  </ds:schemaRefs>
</ds:datastoreItem>
</file>

<file path=customXml/itemProps3.xml><?xml version="1.0" encoding="utf-8"?>
<ds:datastoreItem xmlns:ds="http://schemas.openxmlformats.org/officeDocument/2006/customXml" ds:itemID="{DE4144ED-B636-4647-91BE-A00E5466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f499f4-089f-4930-8175-746b7fd6085a"/>
    <ds:schemaRef ds:uri="90b37cf6-f188-4ae6-a142-07385f580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Ivon Prado Rodríguez</dc:creator>
  <keywords/>
  <dc:description/>
  <lastModifiedBy>Gonzalo Adolfo Fino Tovar</lastModifiedBy>
  <revision>56</revision>
  <lastPrinted>2021-07-06T16:57:00.0000000Z</lastPrinted>
  <dcterms:created xsi:type="dcterms:W3CDTF">2021-09-30T16:17:00.0000000Z</dcterms:created>
  <dcterms:modified xsi:type="dcterms:W3CDTF">2022-04-11T21:27:16.4266033Z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0x01010098FBAFD73FC0944C902E25A6F207FC27</vt:lpwstr>
  </property>
  <property fmtid="{D5CDD505-2E9C-101B-9397-08002B2CF9AE}" pid="3" name="MediaServiceImageTags">
    <vt:lpwstr/>
  </property>
</Properties>
</file>